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60C7" w14:textId="3FB96464" w:rsidR="002107C6" w:rsidRDefault="002107C6" w:rsidP="002107C6">
      <w:pPr>
        <w:pStyle w:val="Heading1"/>
      </w:pPr>
      <w:r>
        <w:t>VR ROI Service Categories</w:t>
      </w:r>
    </w:p>
    <w:p w14:paraId="77CE8891" w14:textId="4A9FA696" w:rsidR="0040515E" w:rsidRPr="0040515E" w:rsidRDefault="0040515E" w:rsidP="002107C6">
      <w:r>
        <w:t>11 Service Categories</w:t>
      </w:r>
      <w:r w:rsidR="009956F9">
        <w:t xml:space="preserve"> identified</w:t>
      </w:r>
      <w:r>
        <w:t xml:space="preserve"> for </w:t>
      </w:r>
      <w:r w:rsidR="009956F9">
        <w:t xml:space="preserve">use in </w:t>
      </w:r>
      <w:r>
        <w:t>VR ROI Analysis</w:t>
      </w:r>
      <w:r w:rsidR="002107C6">
        <w:t xml:space="preserve"> </w:t>
      </w:r>
      <w:r>
        <w:t>after consultation with NC Staff and the Project's Advisory Council</w:t>
      </w:r>
      <w:r w:rsidR="00DE2860">
        <w:t xml:space="preserve"> (As of October 9, 2025)</w:t>
      </w:r>
    </w:p>
    <w:p w14:paraId="0531EFED" w14:textId="4D7A6E7F" w:rsidR="006129FD" w:rsidRPr="0040515E" w:rsidRDefault="006129FD">
      <w:pPr>
        <w:spacing w:line="259" w:lineRule="auto"/>
        <w:rPr>
          <w:szCs w:val="24"/>
        </w:rPr>
      </w:pPr>
    </w:p>
    <w:tbl>
      <w:tblPr>
        <w:tblStyle w:val="TableGrid"/>
        <w:tblW w:w="0" w:type="auto"/>
        <w:jc w:val="center"/>
        <w:tblCellMar>
          <w:top w:w="72" w:type="dxa"/>
          <w:bottom w:w="72" w:type="dxa"/>
        </w:tblCellMar>
        <w:tblLook w:val="0620" w:firstRow="1" w:lastRow="0" w:firstColumn="0" w:lastColumn="0" w:noHBand="1" w:noVBand="1"/>
      </w:tblPr>
      <w:tblGrid>
        <w:gridCol w:w="3055"/>
        <w:gridCol w:w="6030"/>
      </w:tblGrid>
      <w:tr w:rsidR="00AB3AC6" w:rsidRPr="00AB3AC6" w14:paraId="26643274" w14:textId="77777777" w:rsidTr="00033843">
        <w:trPr>
          <w:trHeight w:val="300"/>
          <w:jc w:val="center"/>
        </w:trPr>
        <w:tc>
          <w:tcPr>
            <w:tcW w:w="3055" w:type="dxa"/>
            <w:shd w:val="clear" w:color="auto" w:fill="F6F0FA"/>
            <w:noWrap/>
            <w:hideMark/>
          </w:tcPr>
          <w:p w14:paraId="07CAC118" w14:textId="4878E44C" w:rsidR="00AB3AC6" w:rsidRPr="006129FD" w:rsidRDefault="00AB3AC6" w:rsidP="002107C6">
            <w:pPr>
              <w:spacing w:line="300" w:lineRule="exact"/>
              <w:rPr>
                <w:b/>
                <w:bCs/>
                <w:szCs w:val="24"/>
              </w:rPr>
            </w:pPr>
            <w:bookmarkStart w:id="0" w:name="_Hlk210739459"/>
            <w:r w:rsidRPr="006129FD">
              <w:rPr>
                <w:b/>
                <w:bCs/>
                <w:szCs w:val="24"/>
              </w:rPr>
              <w:t>Our Cat</w:t>
            </w:r>
            <w:r w:rsidR="00910A17" w:rsidRPr="006129FD">
              <w:rPr>
                <w:b/>
                <w:bCs/>
                <w:szCs w:val="24"/>
              </w:rPr>
              <w:t>e</w:t>
            </w:r>
            <w:r w:rsidRPr="006129FD">
              <w:rPr>
                <w:b/>
                <w:bCs/>
                <w:szCs w:val="24"/>
              </w:rPr>
              <w:t>gory</w:t>
            </w:r>
          </w:p>
        </w:tc>
        <w:tc>
          <w:tcPr>
            <w:tcW w:w="6030" w:type="dxa"/>
            <w:shd w:val="clear" w:color="auto" w:fill="F6F0FA"/>
            <w:noWrap/>
            <w:hideMark/>
          </w:tcPr>
          <w:p w14:paraId="085E580A" w14:textId="2B3E39CC" w:rsidR="00AB3AC6" w:rsidRPr="006129FD" w:rsidRDefault="00AB3AC6" w:rsidP="002107C6">
            <w:pPr>
              <w:spacing w:line="300" w:lineRule="exact"/>
              <w:rPr>
                <w:b/>
                <w:bCs/>
                <w:szCs w:val="24"/>
              </w:rPr>
            </w:pPr>
            <w:r w:rsidRPr="006129FD">
              <w:rPr>
                <w:b/>
                <w:bCs/>
                <w:szCs w:val="24"/>
              </w:rPr>
              <w:t>RSA</w:t>
            </w:r>
            <w:r w:rsidR="00910A17" w:rsidRPr="006129FD">
              <w:rPr>
                <w:b/>
                <w:bCs/>
                <w:szCs w:val="24"/>
              </w:rPr>
              <w:t>-911 categories that are included</w:t>
            </w:r>
          </w:p>
        </w:tc>
      </w:tr>
      <w:tr w:rsidR="007C5713" w:rsidRPr="00AB3AC6" w14:paraId="2BAEA04C" w14:textId="77777777" w:rsidTr="00033843">
        <w:trPr>
          <w:trHeight w:val="300"/>
          <w:jc w:val="center"/>
        </w:trPr>
        <w:tc>
          <w:tcPr>
            <w:tcW w:w="3055" w:type="dxa"/>
            <w:noWrap/>
          </w:tcPr>
          <w:p w14:paraId="1B736921" w14:textId="0C420357" w:rsidR="007C5713" w:rsidRPr="006129FD" w:rsidRDefault="007C5713" w:rsidP="002107C6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Assessment</w:t>
            </w:r>
          </w:p>
        </w:tc>
        <w:tc>
          <w:tcPr>
            <w:tcW w:w="6030" w:type="dxa"/>
            <w:noWrap/>
          </w:tcPr>
          <w:p w14:paraId="3594E1FE" w14:textId="29684645" w:rsidR="007C5713" w:rsidRPr="006129FD" w:rsidRDefault="007C5713" w:rsidP="002107C6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Assessment for eligibility, plan, etc.</w:t>
            </w:r>
          </w:p>
        </w:tc>
      </w:tr>
      <w:tr w:rsidR="00AB3AC6" w:rsidRPr="00AB3AC6" w14:paraId="25719D10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60891696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Diagnosis &amp; Treatment</w:t>
            </w:r>
          </w:p>
        </w:tc>
        <w:tc>
          <w:tcPr>
            <w:tcW w:w="6030" w:type="dxa"/>
            <w:noWrap/>
            <w:hideMark/>
          </w:tcPr>
          <w:p w14:paraId="063474CD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Diagnosis and Treatment of Impairments</w:t>
            </w:r>
          </w:p>
        </w:tc>
      </w:tr>
      <w:tr w:rsidR="00AB3AC6" w:rsidRPr="00AB3AC6" w14:paraId="294DE202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2AC8D2A9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Education</w:t>
            </w:r>
          </w:p>
        </w:tc>
        <w:tc>
          <w:tcPr>
            <w:tcW w:w="6030" w:type="dxa"/>
            <w:noWrap/>
            <w:hideMark/>
          </w:tcPr>
          <w:p w14:paraId="632E4D5C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Junior or Community College Training</w:t>
            </w:r>
          </w:p>
          <w:p w14:paraId="26878F3C" w14:textId="77777777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Four-Year College or University Training</w:t>
            </w:r>
          </w:p>
          <w:p w14:paraId="75466998" w14:textId="20D9F074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Graduate College or University</w:t>
            </w:r>
          </w:p>
        </w:tc>
      </w:tr>
      <w:tr w:rsidR="00AB3AC6" w:rsidRPr="00AB3AC6" w14:paraId="25ECC67D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0EC94FB9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Job Training</w:t>
            </w:r>
          </w:p>
        </w:tc>
        <w:tc>
          <w:tcPr>
            <w:tcW w:w="6030" w:type="dxa"/>
            <w:noWrap/>
            <w:hideMark/>
          </w:tcPr>
          <w:p w14:paraId="3137E523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Basic Academic Remedial or Literacy Training</w:t>
            </w:r>
          </w:p>
          <w:p w14:paraId="4CF7E7D6" w14:textId="41BF9586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Occupational or Vocational Trainin</w:t>
            </w:r>
            <w:r w:rsidR="005714CE">
              <w:rPr>
                <w:szCs w:val="24"/>
              </w:rPr>
              <w:t>g</w:t>
            </w:r>
          </w:p>
          <w:p w14:paraId="338420FE" w14:textId="72B1CED7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On the Job Training</w:t>
            </w:r>
          </w:p>
          <w:p w14:paraId="332B199B" w14:textId="77777777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Registered Apprenticeship Training</w:t>
            </w:r>
          </w:p>
          <w:p w14:paraId="5E97003F" w14:textId="77777777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Job Readiness Training</w:t>
            </w:r>
          </w:p>
          <w:p w14:paraId="726A7BDD" w14:textId="7A1EC5B1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Customized Training</w:t>
            </w:r>
          </w:p>
          <w:p w14:paraId="6A640855" w14:textId="4C54B3AA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Randolph-Sheppard</w:t>
            </w:r>
          </w:p>
          <w:p w14:paraId="2CA78A24" w14:textId="090BF9BB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Miscellaneous Training</w:t>
            </w:r>
          </w:p>
          <w:p w14:paraId="5C04242D" w14:textId="74866AE8" w:rsidR="00910A17" w:rsidRPr="006129FD" w:rsidRDefault="00910A17" w:rsidP="002107C6">
            <w:pPr>
              <w:spacing w:line="300" w:lineRule="exact"/>
              <w:rPr>
                <w:szCs w:val="24"/>
              </w:rPr>
            </w:pPr>
          </w:p>
        </w:tc>
      </w:tr>
      <w:tr w:rsidR="00AB3AC6" w:rsidRPr="00AB3AC6" w14:paraId="30D1F926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27EEA100" w14:textId="77777777" w:rsidR="00AB3AC6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Job Search and Placement</w:t>
            </w:r>
          </w:p>
          <w:p w14:paraId="5A8357C4" w14:textId="7C7AFB50" w:rsidR="00E411AF" w:rsidRPr="006129FD" w:rsidRDefault="00E411AF" w:rsidP="002107C6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(Work Adjustment)</w:t>
            </w:r>
          </w:p>
        </w:tc>
        <w:tc>
          <w:tcPr>
            <w:tcW w:w="6030" w:type="dxa"/>
            <w:noWrap/>
            <w:hideMark/>
          </w:tcPr>
          <w:p w14:paraId="450ADFB7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Job Search Assistance</w:t>
            </w:r>
          </w:p>
          <w:p w14:paraId="0ED7D126" w14:textId="05E76291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Job Placement Assistance</w:t>
            </w:r>
          </w:p>
          <w:p w14:paraId="16A1500C" w14:textId="3A63068A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Technical Assistance Services Including Self-Employment</w:t>
            </w:r>
          </w:p>
          <w:p w14:paraId="5AF181A6" w14:textId="47C59A9B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Short Term Job Supports</w:t>
            </w:r>
          </w:p>
          <w:p w14:paraId="7BCADECB" w14:textId="77777777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</w:p>
        </w:tc>
      </w:tr>
      <w:tr w:rsidR="00AB3AC6" w:rsidRPr="00AB3AC6" w14:paraId="41C69C13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1EE13980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Supported Employment</w:t>
            </w:r>
          </w:p>
        </w:tc>
        <w:tc>
          <w:tcPr>
            <w:tcW w:w="6030" w:type="dxa"/>
            <w:noWrap/>
            <w:hideMark/>
          </w:tcPr>
          <w:p w14:paraId="31CBB3D0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Supported Employment Services</w:t>
            </w:r>
          </w:p>
          <w:p w14:paraId="4167AF8D" w14:textId="6EBE10E5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Customized Employment Services</w:t>
            </w:r>
          </w:p>
        </w:tc>
      </w:tr>
      <w:tr w:rsidR="00AB3AC6" w:rsidRPr="00AB3AC6" w14:paraId="50658E74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58140BD6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Other supports</w:t>
            </w:r>
          </w:p>
        </w:tc>
        <w:tc>
          <w:tcPr>
            <w:tcW w:w="6030" w:type="dxa"/>
            <w:noWrap/>
            <w:hideMark/>
          </w:tcPr>
          <w:p w14:paraId="348E2656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Transportation</w:t>
            </w:r>
          </w:p>
          <w:p w14:paraId="62C5D561" w14:textId="77777777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Maintenance</w:t>
            </w:r>
          </w:p>
          <w:p w14:paraId="7C79BD03" w14:textId="77777777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Information and Referral Services</w:t>
            </w:r>
          </w:p>
          <w:p w14:paraId="1416F945" w14:textId="79B5536D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 xml:space="preserve">Extended </w:t>
            </w:r>
            <w:r w:rsidR="000C5292">
              <w:rPr>
                <w:szCs w:val="24"/>
              </w:rPr>
              <w:t>Services</w:t>
            </w:r>
          </w:p>
        </w:tc>
      </w:tr>
      <w:tr w:rsidR="00AB3AC6" w:rsidRPr="00AB3AC6" w14:paraId="51DF16D1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471E2AF6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Benefits</w:t>
            </w:r>
          </w:p>
        </w:tc>
        <w:tc>
          <w:tcPr>
            <w:tcW w:w="6030" w:type="dxa"/>
            <w:noWrap/>
            <w:hideMark/>
          </w:tcPr>
          <w:p w14:paraId="6AAFE5F9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Benefits Counseling</w:t>
            </w:r>
          </w:p>
          <w:p w14:paraId="6B630C63" w14:textId="02BA1AD6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Vocational Rehabilitation Counseling and Guidance</w:t>
            </w:r>
          </w:p>
        </w:tc>
      </w:tr>
      <w:tr w:rsidR="00AB3AC6" w:rsidRPr="00AB3AC6" w14:paraId="60CE762D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3AE6DF58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Disability Accommodation</w:t>
            </w:r>
          </w:p>
        </w:tc>
        <w:tc>
          <w:tcPr>
            <w:tcW w:w="6030" w:type="dxa"/>
            <w:noWrap/>
            <w:hideMark/>
          </w:tcPr>
          <w:p w14:paraId="0FDB8607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Reader Services</w:t>
            </w:r>
          </w:p>
          <w:p w14:paraId="6D900DA1" w14:textId="77777777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Interpreter Services</w:t>
            </w:r>
          </w:p>
          <w:p w14:paraId="4612F85A" w14:textId="2208AC85" w:rsidR="006129FD" w:rsidRPr="006129FD" w:rsidRDefault="006129FD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Personal Assistance Services</w:t>
            </w:r>
          </w:p>
        </w:tc>
      </w:tr>
      <w:tr w:rsidR="00AB3AC6" w:rsidRPr="00AB3AC6" w14:paraId="70D6E9B7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235B432C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Adjustment to Disability</w:t>
            </w:r>
          </w:p>
        </w:tc>
        <w:tc>
          <w:tcPr>
            <w:tcW w:w="6030" w:type="dxa"/>
            <w:noWrap/>
            <w:hideMark/>
          </w:tcPr>
          <w:p w14:paraId="7F2CB2DE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Disability Related Skills Training</w:t>
            </w:r>
          </w:p>
        </w:tc>
      </w:tr>
      <w:tr w:rsidR="00AB3AC6" w:rsidRPr="00AB3AC6" w14:paraId="0E293EC1" w14:textId="77777777" w:rsidTr="00033843">
        <w:trPr>
          <w:trHeight w:val="300"/>
          <w:jc w:val="center"/>
        </w:trPr>
        <w:tc>
          <w:tcPr>
            <w:tcW w:w="3055" w:type="dxa"/>
            <w:noWrap/>
            <w:hideMark/>
          </w:tcPr>
          <w:p w14:paraId="7FD10BD6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Rehabilitation Technology</w:t>
            </w:r>
          </w:p>
        </w:tc>
        <w:tc>
          <w:tcPr>
            <w:tcW w:w="6030" w:type="dxa"/>
            <w:noWrap/>
            <w:hideMark/>
          </w:tcPr>
          <w:p w14:paraId="11C00269" w14:textId="77777777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Rehabilitation Technology</w:t>
            </w:r>
          </w:p>
        </w:tc>
      </w:tr>
      <w:tr w:rsidR="00AB3AC6" w:rsidRPr="00AB3AC6" w14:paraId="759C857E" w14:textId="77777777" w:rsidTr="00033843">
        <w:trPr>
          <w:trHeight w:val="300"/>
          <w:jc w:val="center"/>
        </w:trPr>
        <w:tc>
          <w:tcPr>
            <w:tcW w:w="3055" w:type="dxa"/>
            <w:noWrap/>
          </w:tcPr>
          <w:p w14:paraId="0E4E73D1" w14:textId="5F23D676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Other Services</w:t>
            </w:r>
          </w:p>
        </w:tc>
        <w:tc>
          <w:tcPr>
            <w:tcW w:w="6030" w:type="dxa"/>
            <w:noWrap/>
          </w:tcPr>
          <w:p w14:paraId="72BDC787" w14:textId="7CE7456E" w:rsidR="00AB3AC6" w:rsidRPr="006129FD" w:rsidRDefault="00AB3AC6" w:rsidP="002107C6">
            <w:pPr>
              <w:spacing w:line="300" w:lineRule="exact"/>
              <w:rPr>
                <w:szCs w:val="24"/>
              </w:rPr>
            </w:pPr>
            <w:r w:rsidRPr="006129FD">
              <w:rPr>
                <w:szCs w:val="24"/>
              </w:rPr>
              <w:t>Other Services</w:t>
            </w:r>
          </w:p>
        </w:tc>
      </w:tr>
      <w:bookmarkEnd w:id="0"/>
    </w:tbl>
    <w:p w14:paraId="0D455B70" w14:textId="354FE17E" w:rsidR="0089652A" w:rsidRDefault="0089652A" w:rsidP="00DE2860"/>
    <w:sectPr w:rsidR="0089652A" w:rsidSect="0089652A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leo">
    <w:panose1 w:val="020F03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4EB"/>
    <w:multiLevelType w:val="multilevel"/>
    <w:tmpl w:val="94A4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5312D"/>
    <w:multiLevelType w:val="hybridMultilevel"/>
    <w:tmpl w:val="8F26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E7030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19105">
    <w:abstractNumId w:val="0"/>
  </w:num>
  <w:num w:numId="2" w16cid:durableId="72287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C8"/>
    <w:rsid w:val="00033843"/>
    <w:rsid w:val="000833C6"/>
    <w:rsid w:val="0009034E"/>
    <w:rsid w:val="000C5292"/>
    <w:rsid w:val="000C541D"/>
    <w:rsid w:val="00165AC8"/>
    <w:rsid w:val="002107C6"/>
    <w:rsid w:val="0022055C"/>
    <w:rsid w:val="00290A7A"/>
    <w:rsid w:val="00295130"/>
    <w:rsid w:val="0030600E"/>
    <w:rsid w:val="00340A5D"/>
    <w:rsid w:val="003878E0"/>
    <w:rsid w:val="0040515E"/>
    <w:rsid w:val="004C30CB"/>
    <w:rsid w:val="005714CE"/>
    <w:rsid w:val="005A7519"/>
    <w:rsid w:val="006129FD"/>
    <w:rsid w:val="006C0AE7"/>
    <w:rsid w:val="00740A03"/>
    <w:rsid w:val="00774DC8"/>
    <w:rsid w:val="007C5713"/>
    <w:rsid w:val="007C5DE6"/>
    <w:rsid w:val="00813F6B"/>
    <w:rsid w:val="0089652A"/>
    <w:rsid w:val="008E6994"/>
    <w:rsid w:val="00910A17"/>
    <w:rsid w:val="00961119"/>
    <w:rsid w:val="009709E2"/>
    <w:rsid w:val="009956F9"/>
    <w:rsid w:val="009F5393"/>
    <w:rsid w:val="00AB3AC6"/>
    <w:rsid w:val="00B14133"/>
    <w:rsid w:val="00BB3B16"/>
    <w:rsid w:val="00BD56D9"/>
    <w:rsid w:val="00DE1977"/>
    <w:rsid w:val="00DE2860"/>
    <w:rsid w:val="00E052ED"/>
    <w:rsid w:val="00E411AF"/>
    <w:rsid w:val="00F034AF"/>
    <w:rsid w:val="00F23645"/>
    <w:rsid w:val="00F355FD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FEA0"/>
  <w15:chartTrackingRefBased/>
  <w15:docId w15:val="{F9493D0B-40A2-4557-BBAF-50BE3AAA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C6"/>
    <w:pPr>
      <w:spacing w:after="0" w:line="360" w:lineRule="exact"/>
    </w:pPr>
    <w:rPr>
      <w:rFonts w:ascii="Calibri" w:hAnsi="Calibri" w:cs="Poppins"/>
      <w:kern w:val="0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07C6"/>
    <w:pPr>
      <w:keepNext/>
      <w:keepLines/>
      <w:spacing w:line="580" w:lineRule="exact"/>
      <w:outlineLvl w:val="0"/>
    </w:pPr>
    <w:rPr>
      <w:rFonts w:ascii="Aleo" w:eastAsiaTheme="majorEastAsia" w:hAnsi="Aleo" w:cstheme="majorBidi"/>
      <w:b/>
      <w:bCs/>
      <w:color w:val="000000" w:themeColor="text1"/>
      <w:spacing w:val="20"/>
      <w:kern w:val="2"/>
      <w:sz w:val="40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7C6"/>
    <w:pPr>
      <w:spacing w:line="288" w:lineRule="auto"/>
      <w:outlineLvl w:val="1"/>
    </w:pPr>
    <w:rPr>
      <w:rFonts w:asciiTheme="minorHAnsi" w:eastAsia="Aptos" w:hAnsiTheme="minorHAnsi" w:cstheme="minorBidi"/>
      <w:b/>
      <w:bCs/>
      <w:color w:val="529430" w:themeColor="accent6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107C6"/>
    <w:pPr>
      <w:spacing w:line="440" w:lineRule="exact"/>
      <w:outlineLvl w:val="2"/>
    </w:pPr>
    <w:rPr>
      <w:b/>
      <w:bCs/>
      <w:color w:val="206B8B" w:themeColor="accent5" w:themeShade="BF"/>
      <w:kern w:val="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7C6"/>
    <w:pPr>
      <w:keepNext/>
      <w:keepLines/>
      <w:spacing w:before="40"/>
      <w:ind w:left="72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7C6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b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7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7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7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7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7C6"/>
    <w:rPr>
      <w:rFonts w:ascii="Aleo" w:eastAsiaTheme="majorEastAsia" w:hAnsi="Aleo" w:cstheme="majorBidi"/>
      <w:b/>
      <w:bCs/>
      <w:color w:val="000000" w:themeColor="text1"/>
      <w:spacing w:val="20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7C6"/>
    <w:rPr>
      <w:rFonts w:eastAsia="Aptos"/>
      <w:b/>
      <w:bCs/>
      <w:color w:val="529430" w:themeColor="accent6" w:themeShade="BF"/>
      <w:kern w:val="0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7C6"/>
    <w:rPr>
      <w:rFonts w:ascii="Calibri" w:hAnsi="Calibri" w:cs="Poppins"/>
      <w:b/>
      <w:bCs/>
      <w:color w:val="206B8B" w:themeColor="accent5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7C6"/>
    <w:rPr>
      <w:rFonts w:ascii="Calibri" w:eastAsiaTheme="majorEastAsia" w:hAnsi="Calibri" w:cstheme="majorBidi"/>
      <w:b/>
      <w:bCs/>
      <w:color w:val="000000" w:themeColor="text1"/>
      <w:kern w:val="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7C6"/>
    <w:rPr>
      <w:rFonts w:eastAsiaTheme="majorEastAsia" w:cstheme="majorBidi"/>
      <w:b/>
      <w:color w:val="44546A" w:themeColor="text2"/>
      <w:kern w:val="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7C6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7C6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7C6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7C6"/>
    <w:rPr>
      <w:rFonts w:eastAsiaTheme="majorEastAsia" w:cstheme="majorBidi"/>
      <w:color w:val="272727" w:themeColor="text1" w:themeTint="D8"/>
      <w:kern w:val="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7C6"/>
    <w:pPr>
      <w:numPr>
        <w:ilvl w:val="1"/>
      </w:numPr>
      <w:spacing w:line="440" w:lineRule="atLeast"/>
      <w:jc w:val="center"/>
    </w:pPr>
    <w:rPr>
      <w:rFonts w:ascii="Roboto Medium" w:eastAsiaTheme="minorEastAsia" w:hAnsi="Roboto Medium"/>
      <w:color w:val="376320" w:themeColor="accent2" w:themeShade="80"/>
      <w:spacing w:val="15"/>
      <w:kern w:val="2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107C6"/>
    <w:rPr>
      <w:rFonts w:ascii="Roboto Medium" w:eastAsiaTheme="minorEastAsia" w:hAnsi="Roboto Medium" w:cs="Poppins"/>
      <w:color w:val="376320" w:themeColor="accent2" w:themeShade="80"/>
      <w:spacing w:val="15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107C6"/>
    <w:pPr>
      <w:spacing w:before="160" w:after="160"/>
      <w:jc w:val="center"/>
    </w:pPr>
    <w:rPr>
      <w:i/>
      <w:iCs/>
      <w:color w:val="004066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107C6"/>
    <w:rPr>
      <w:rFonts w:ascii="Calibri" w:hAnsi="Calibri" w:cs="Poppins"/>
      <w:i/>
      <w:iCs/>
      <w:color w:val="004066" w:themeColor="accent1"/>
      <w:kern w:val="0"/>
      <w:sz w:val="24"/>
    </w:rPr>
  </w:style>
  <w:style w:type="paragraph" w:styleId="ListParagraph">
    <w:name w:val="List Paragraph"/>
    <w:basedOn w:val="Normal"/>
    <w:autoRedefine/>
    <w:qFormat/>
    <w:rsid w:val="002107C6"/>
    <w:pPr>
      <w:numPr>
        <w:ilvl w:val="1"/>
        <w:numId w:val="2"/>
      </w:numPr>
      <w:contextualSpacing/>
    </w:pPr>
    <w:rPr>
      <w:rFonts w:eastAsia="Calibri"/>
    </w:rPr>
  </w:style>
  <w:style w:type="character" w:styleId="IntenseEmphasis">
    <w:name w:val="Intense Emphasis"/>
    <w:basedOn w:val="DefaultParagraphFont"/>
    <w:uiPriority w:val="21"/>
    <w:qFormat/>
    <w:rsid w:val="002107C6"/>
    <w:rPr>
      <w:i/>
      <w:iCs/>
      <w:color w:val="002F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7C6"/>
    <w:pPr>
      <w:pBdr>
        <w:top w:val="single" w:sz="4" w:space="10" w:color="002F4C" w:themeColor="accent1" w:themeShade="BF"/>
        <w:bottom w:val="single" w:sz="4" w:space="10" w:color="002F4C" w:themeColor="accent1" w:themeShade="BF"/>
      </w:pBdr>
      <w:spacing w:before="360" w:after="360"/>
      <w:ind w:left="864" w:right="864"/>
      <w:jc w:val="center"/>
    </w:pPr>
    <w:rPr>
      <w:i/>
      <w:iCs/>
      <w:color w:val="002F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7C6"/>
    <w:rPr>
      <w:rFonts w:ascii="Calibri" w:hAnsi="Calibri" w:cs="Poppins"/>
      <w:i/>
      <w:iCs/>
      <w:color w:val="002F4C" w:themeColor="accent1" w:themeShade="BF"/>
      <w:kern w:val="0"/>
      <w:sz w:val="24"/>
    </w:rPr>
  </w:style>
  <w:style w:type="character" w:styleId="IntenseReference">
    <w:name w:val="Intense Reference"/>
    <w:basedOn w:val="DefaultParagraphFont"/>
    <w:uiPriority w:val="32"/>
    <w:qFormat/>
    <w:rsid w:val="002107C6"/>
    <w:rPr>
      <w:b/>
      <w:bCs/>
      <w:smallCaps/>
      <w:color w:val="002F4C" w:themeColor="accent1" w:themeShade="BF"/>
      <w:spacing w:val="5"/>
    </w:rPr>
  </w:style>
  <w:style w:type="paragraph" w:customStyle="1" w:styleId="elementtoproof">
    <w:name w:val="elementtoproof"/>
    <w:basedOn w:val="Normal"/>
    <w:rsid w:val="00774DC8"/>
    <w:rPr>
      <w:rFonts w:ascii="Aptos" w:hAnsi="Aptos" w:cs="Aptos"/>
      <w:szCs w:val="24"/>
    </w:rPr>
  </w:style>
  <w:style w:type="table" w:styleId="TableGrid">
    <w:name w:val="Table Grid"/>
    <w:basedOn w:val="TableNormal"/>
    <w:uiPriority w:val="39"/>
    <w:rsid w:val="00DE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sid w:val="002107C6"/>
    <w:rPr>
      <w:rFonts w:asciiTheme="minorHAnsi" w:hAnsiTheme="minorHAnsi"/>
      <w:b/>
      <w:color w:val="529430" w:themeColor="accent6" w:themeShade="BF"/>
      <w:sz w:val="24"/>
      <w:u w:val="single"/>
    </w:rPr>
  </w:style>
  <w:style w:type="paragraph" w:styleId="NoSpacing">
    <w:name w:val="No Spacing"/>
    <w:uiPriority w:val="1"/>
    <w:qFormat/>
    <w:rsid w:val="002107C6"/>
    <w:pPr>
      <w:spacing w:after="0" w:line="240" w:lineRule="auto"/>
    </w:pPr>
    <w:rPr>
      <w:color w:val="44546A" w:themeColor="text2"/>
      <w:kern w:val="0"/>
      <w:sz w:val="24"/>
    </w:rPr>
  </w:style>
  <w:style w:type="character" w:styleId="SubtleEmphasis">
    <w:name w:val="Subtle Emphasis"/>
    <w:basedOn w:val="DefaultParagraphFont"/>
    <w:uiPriority w:val="19"/>
    <w:qFormat/>
    <w:rsid w:val="002107C6"/>
    <w:rPr>
      <w:i/>
      <w:iCs/>
      <w:color w:val="725B37" w:themeColor="accent3" w:themeShade="80"/>
    </w:rPr>
  </w:style>
  <w:style w:type="character" w:styleId="SubtleReference">
    <w:name w:val="Subtle Reference"/>
    <w:basedOn w:val="DefaultParagraphFont"/>
    <w:uiPriority w:val="31"/>
    <w:qFormat/>
    <w:rsid w:val="002107C6"/>
    <w:rPr>
      <w:rFonts w:asciiTheme="minorHAnsi" w:hAnsiTheme="minorHAnsi"/>
      <w:b/>
      <w:smallCaps/>
      <w:color w:val="70C245" w:themeColor="accent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RI-2025">
  <a:themeElements>
    <a:clrScheme name="GW CIT-V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066"/>
      </a:accent1>
      <a:accent2>
        <a:srgbClr val="70C245"/>
      </a:accent2>
      <a:accent3>
        <a:srgbClr val="C7B08C"/>
      </a:accent3>
      <a:accent4>
        <a:srgbClr val="FFC72E"/>
      </a:accent4>
      <a:accent5>
        <a:srgbClr val="2B90BA"/>
      </a:accent5>
      <a:accent6>
        <a:srgbClr val="70C245"/>
      </a:accent6>
      <a:hlink>
        <a:srgbClr val="004066"/>
      </a:hlink>
      <a:folHlink>
        <a:srgbClr val="0040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Schmidt</dc:creator>
  <cp:keywords/>
  <dc:description/>
  <cp:lastModifiedBy>Theresa Kulow</cp:lastModifiedBy>
  <cp:revision>2</cp:revision>
  <cp:lastPrinted>2025-10-02T15:16:00Z</cp:lastPrinted>
  <dcterms:created xsi:type="dcterms:W3CDTF">2025-10-21T20:43:00Z</dcterms:created>
  <dcterms:modified xsi:type="dcterms:W3CDTF">2025-10-21T20:43:00Z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-1077340929</vt:i4>
  </property>
  <property fmtid="{D5CDD505-2E9C-101B-9397-08002B2CF9AE}" pid="3" name="_NewReviewCycle">
    <vt:lpwstr/>
  </property>
  <property fmtid="{D5CDD505-2E9C-101B-9397-08002B2CF9AE}" pid="4" name="_EmailSubject">
    <vt:lpwstr>"Final" slide deck</vt:lpwstr>
  </property>
  <property fmtid="{D5CDD505-2E9C-101B-9397-08002B2CF9AE}" pid="5" name="_AuthorEmail">
    <vt:lpwstr>rschmidt@richmond.edu</vt:lpwstr>
  </property>
  <property fmtid="{D5CDD505-2E9C-101B-9397-08002B2CF9AE}" pid="6" name="_AuthorEmailDisplayName">
    <vt:lpwstr>Bob Schmidt</vt:lpwstr>
  </property>
  <property fmtid="{D5CDD505-2E9C-101B-9397-08002B2CF9AE}" pid="7" name="_PreviousAdHocReviewCycleID">
    <vt:i4>1275726381</vt:i4>
  </property>
  <property fmtid="{D5CDD505-2E9C-101B-9397-08002B2CF9AE}" pid="8" name="_ReviewingToolsShownOnce">
    <vt:lpwstr/>
  </property>
</Properties>
</file>