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5944" w14:textId="71672EC1" w:rsidR="00362FD0" w:rsidRDefault="00961853" w:rsidP="00793A96">
      <w:pPr>
        <w:jc w:val="center"/>
      </w:pPr>
      <w:r w:rsidRPr="00961853">
        <w:rPr>
          <w:noProof/>
        </w:rPr>
        <w:drawing>
          <wp:inline distT="0" distB="0" distL="0" distR="0" wp14:anchorId="17B3A126" wp14:editId="14B6F789">
            <wp:extent cx="3476625" cy="582590"/>
            <wp:effectExtent l="0" t="0" r="0" b="8255"/>
            <wp:docPr id="12" name="Picture 11" descr="VR-ROI">
              <a:extLst xmlns:a="http://schemas.openxmlformats.org/drawingml/2006/main">
                <a:ext uri="{FF2B5EF4-FFF2-40B4-BE49-F238E27FC236}">
                  <a16:creationId xmlns:a16="http://schemas.microsoft.com/office/drawing/2014/main" id="{1FB55C0D-5CC4-EBBB-B42A-02AD118D97DF}"/>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VR-ROI">
                      <a:extLst>
                        <a:ext uri="{FF2B5EF4-FFF2-40B4-BE49-F238E27FC236}">
                          <a16:creationId xmlns:a16="http://schemas.microsoft.com/office/drawing/2014/main" id="{1FB55C0D-5CC4-EBBB-B42A-02AD118D97DF}"/>
                        </a:ext>
                        <a:ext uri="{C183D7F6-B498-43B3-948B-1728B52AA6E4}">
                          <adec:decorative xmlns:adec="http://schemas.microsoft.com/office/drawing/2017/decorative" val="0"/>
                        </a:ext>
                      </a:extLst>
                    </pic:cNvPr>
                    <pic:cNvPicPr>
                      <a:picLocks noChangeAspect="1"/>
                    </pic:cNvPicPr>
                  </pic:nvPicPr>
                  <pic:blipFill>
                    <a:blip r:embed="rId9"/>
                    <a:srcRect b="24592"/>
                    <a:stretch>
                      <a:fillRect/>
                    </a:stretch>
                  </pic:blipFill>
                  <pic:spPr>
                    <a:xfrm>
                      <a:off x="0" y="0"/>
                      <a:ext cx="3570721" cy="598358"/>
                    </a:xfrm>
                    <a:prstGeom prst="rect">
                      <a:avLst/>
                    </a:prstGeom>
                  </pic:spPr>
                </pic:pic>
              </a:graphicData>
            </a:graphic>
          </wp:inline>
        </w:drawing>
      </w:r>
    </w:p>
    <w:p w14:paraId="3CE0B7EC" w14:textId="77777777" w:rsidR="00362FD0" w:rsidRDefault="00362FD0" w:rsidP="00362FD0"/>
    <w:p w14:paraId="564F5B9A" w14:textId="51B8AC79" w:rsidR="00591726" w:rsidRPr="00A221B0" w:rsidRDefault="00222FBF" w:rsidP="00603E08">
      <w:pPr>
        <w:pStyle w:val="Heading1"/>
      </w:pPr>
      <w:r w:rsidRPr="00A221B0">
        <w:t>Your Voice, Your Impact: Shaping the Future of VR-ROI</w:t>
      </w:r>
      <w:r w:rsidR="00C704D8" w:rsidRPr="00A221B0">
        <w:t xml:space="preserve"> </w:t>
      </w:r>
      <w:r w:rsidR="00916C41" w:rsidRPr="00A221B0">
        <w:t>Summary – October 23, 2025</w:t>
      </w:r>
      <w:r w:rsidR="008B55AB" w:rsidRPr="00A221B0">
        <w:t xml:space="preserve"> </w:t>
      </w:r>
    </w:p>
    <w:p w14:paraId="0E025784" w14:textId="77777777" w:rsidR="00C57A4C" w:rsidRPr="00603E08" w:rsidRDefault="00C57A4C" w:rsidP="00D03C8E">
      <w:pPr>
        <w:pStyle w:val="Heading2"/>
        <w:spacing w:before="360"/>
      </w:pPr>
      <w:r w:rsidRPr="00603E08">
        <w:t>Vocational Rehabilitation Grant Meeting Overview</w:t>
      </w:r>
    </w:p>
    <w:p w14:paraId="0AE41DC7" w14:textId="77777777" w:rsidR="00C57A4C" w:rsidRPr="00D03C8E" w:rsidRDefault="00C57A4C" w:rsidP="00D03C8E">
      <w:pPr>
        <w:pStyle w:val="NormalWeb"/>
      </w:pPr>
      <w:r w:rsidRPr="00D03C8E">
        <w:t>The meeting officially started with Joe Ashley introducing the Vocational Rehabilitation Return on Investment Grant meeting, explaining it was funded by NIDILRR and being recorded for those unable to attend. Joe mentioned CRC credits would be available and directed participants to complete an evaluation form and access the slide deck and service categories document.</w:t>
      </w:r>
    </w:p>
    <w:p w14:paraId="6C56FEF5" w14:textId="77777777" w:rsidR="00C57A4C" w:rsidRPr="00C57A4C" w:rsidRDefault="00C57A4C" w:rsidP="00603E08">
      <w:pPr>
        <w:pStyle w:val="Heading2"/>
      </w:pPr>
      <w:r w:rsidRPr="00C57A4C">
        <w:t>Vocational Rehabilitation Service Modeling</w:t>
      </w:r>
    </w:p>
    <w:p w14:paraId="607FE886" w14:textId="77777777" w:rsidR="00C57A4C" w:rsidRPr="00D03C8E" w:rsidRDefault="00C57A4C" w:rsidP="00D03C8E">
      <w:pPr>
        <w:pStyle w:val="NormalWeb"/>
      </w:pPr>
      <w:r w:rsidRPr="00D03C8E">
        <w:t>The meeting focused on discussing a structural model for vocational rehabilitation (VR) services, with participants exploring trade-offs between detailed and simplified models. Chris Clapp presented data on service receipts across different disability categories, highlighting variations in service types and highlighting the need for disability-specific modeling. Steven Stern discussed measures of rapid engagement and service intensity, seeking feedback on appropriate metrics and whether specific time thresholds were significant. After a good discussion of the concept of Rapid Engagement, Steven Stern noted that the model will include both application-to-plan and plan-to-first-service measures of rapid engagement in the model. The model will estimate how each affects the use of VR services which in turn has a direct effect on labor market outcomes.</w:t>
      </w:r>
    </w:p>
    <w:p w14:paraId="26084FB2" w14:textId="77777777" w:rsidR="00C57A4C" w:rsidRPr="00C57A4C" w:rsidRDefault="00C57A4C" w:rsidP="00D03C8E">
      <w:pPr>
        <w:pStyle w:val="NormalWeb"/>
      </w:pPr>
      <w:r w:rsidRPr="00D03C8E">
        <w:t xml:space="preserve">The team also addressed the importance of allowing for simultaneous receipt of multiple services and different service sources in the model. Participants were encouraged to provide feedback via chat, with questions raised about the inclusion of hearing impairments (we can), the measurement of service intensity (we will), and the impact of </w:t>
      </w:r>
      <w:proofErr w:type="gramStart"/>
      <w:r w:rsidRPr="00D03C8E">
        <w:t>Pre-ETS</w:t>
      </w:r>
      <w:proofErr w:type="gramEnd"/>
      <w:r w:rsidRPr="00D03C8E">
        <w:t xml:space="preserve"> services (we will estimate if there are enough observations).</w:t>
      </w:r>
    </w:p>
    <w:p w14:paraId="27E63289" w14:textId="77777777" w:rsidR="00C57A4C" w:rsidRPr="00C57A4C" w:rsidRDefault="00C57A4C" w:rsidP="00603E08">
      <w:pPr>
        <w:pStyle w:val="Heading2"/>
      </w:pPr>
      <w:r w:rsidRPr="00C57A4C">
        <w:t>VR Services and Employment Impact</w:t>
      </w:r>
    </w:p>
    <w:p w14:paraId="452D8790" w14:textId="77777777" w:rsidR="00C57A4C" w:rsidRPr="00D03C8E" w:rsidRDefault="00C57A4C" w:rsidP="00D03C8E">
      <w:pPr>
        <w:pStyle w:val="NormalWeb"/>
      </w:pPr>
      <w:r w:rsidRPr="00D03C8E">
        <w:t xml:space="preserve">The meeting focused on analyzing data related to VR services and their impact on employment and earnings. Steven and John Pepper discussed the proportion of individuals receiving purchased services versus in-house services and comparable benefits, though specific data was not immediately available for presentation. John Pepper presented graphs illustrating employment rates and average earnings before and after VR service applications, noting a </w:t>
      </w:r>
      <w:r w:rsidRPr="00D03C8E">
        <w:lastRenderedPageBreak/>
        <w:t>significant divergence in employment rates between those who received services and those who did not, with a 6-</w:t>
      </w:r>
      <w:proofErr w:type="gramStart"/>
      <w:r w:rsidRPr="00D03C8E">
        <w:t>8 percentage</w:t>
      </w:r>
      <w:proofErr w:type="gramEnd"/>
      <w:r w:rsidRPr="00D03C8E">
        <w:t xml:space="preserve"> point difference in the short run. The data also showed a temporary drop in employment rates due to COVID-19 and suggested that VR services might have a negative effect on earnings in the short term, though this effect could diminish over time. </w:t>
      </w:r>
    </w:p>
    <w:p w14:paraId="7EB67853" w14:textId="77777777" w:rsidR="00C57A4C" w:rsidRPr="00C57A4C" w:rsidRDefault="00C57A4C" w:rsidP="00603E08">
      <w:pPr>
        <w:pStyle w:val="Heading2"/>
      </w:pPr>
      <w:r w:rsidRPr="00C57A4C">
        <w:t>VR Services' Employment and Earnings Impact</w:t>
      </w:r>
    </w:p>
    <w:p w14:paraId="39330043" w14:textId="77777777" w:rsidR="00C57A4C" w:rsidRPr="00D03C8E" w:rsidRDefault="00C57A4C" w:rsidP="00D03C8E">
      <w:pPr>
        <w:pStyle w:val="NormalWeb"/>
      </w:pPr>
      <w:r w:rsidRPr="00D03C8E">
        <w:t>John Pepper presented a statistical analysis of VR services' impact on employment and earnings, using a difference-in-difference model. He showed that VR services increased employment by about 7% in both the short and long run, but had mixed effects on earnings, with a 12% drop in the short run and a 4% drop in the long run. John Walsch asked about the definition of short-term and long-term effects, which John Pepper explained as less than 2 years and more than 2 years post application, respectively. They also discussed why VR services might reduce earnings, with John Pepper suggesting it could be due to a compositional effect where newly employed individuals might have lower wages. John Pepper will explore the potential reasons for VR services reducing earnings among those who are employed, something that is planned after the estimations are finalized. He also noted that these estimates are from the "simple" model and can be expected to change after estimation of the more sophisticated structural model.</w:t>
      </w:r>
    </w:p>
    <w:p w14:paraId="749DEAC5" w14:textId="77777777" w:rsidR="00C57A4C" w:rsidRPr="00C57A4C" w:rsidRDefault="00C57A4C" w:rsidP="00603E08">
      <w:pPr>
        <w:pStyle w:val="Heading2"/>
      </w:pPr>
      <w:r w:rsidRPr="00C57A4C">
        <w:t>VR Services Impact Analysis Review</w:t>
      </w:r>
    </w:p>
    <w:p w14:paraId="69447F00" w14:textId="77777777" w:rsidR="00C57A4C" w:rsidRPr="00D03C8E" w:rsidRDefault="00C57A4C" w:rsidP="00D03C8E">
      <w:pPr>
        <w:pStyle w:val="NormalWeb"/>
      </w:pPr>
      <w:r w:rsidRPr="00D03C8E">
        <w:t>The meeting focused on the analysis of VR (Vocational Rehabilitation) services' effects, with preliminary findings showing mixed results across different disability groups. John Pepper highlighted that while some services showed positive labor market benefits, others had negative effects and emphasized the need to account for non-labor market impacts like independent living skills. Steven discussed challenges in estimating impacts for different service categories and sources, noting the need to reduce the number of service types from 12 to 7 for computational reasons, and sought input on how to aggregate services effectively.</w:t>
      </w:r>
    </w:p>
    <w:p w14:paraId="03C91186" w14:textId="77777777" w:rsidR="00C57A4C" w:rsidRPr="00D03C8E" w:rsidRDefault="00C57A4C" w:rsidP="00D03C8E">
      <w:pPr>
        <w:pStyle w:val="Heading2"/>
      </w:pPr>
      <w:r w:rsidRPr="00D03C8E">
        <w:t>VR Program Outcomes Analysis Review</w:t>
      </w:r>
    </w:p>
    <w:p w14:paraId="37E76B50" w14:textId="53B1F215" w:rsidR="00591726" w:rsidRDefault="00C57A4C" w:rsidP="00C57A4C">
      <w:pPr>
        <w:pStyle w:val="NormalWeb"/>
        <w:rPr>
          <w:rFonts w:cstheme="minorHAnsi"/>
        </w:rPr>
      </w:pPr>
      <w:r w:rsidRPr="00C57A4C">
        <w:rPr>
          <w:rFonts w:cstheme="minorHAnsi"/>
        </w:rPr>
        <w:t>The meeting focused on discussing a preliminary analysis of VR (Vocational Rehabilitation) program outcomes, with participants providing feedback and asking questions about the data and methodology. The researchers acknowledged that the results were preliminary and would be updated as more data became available. Participants expressed interest in understanding the impact of COVID-19 on outcomes, the long-term effects of VR services, and the potential influence of Social Security benefits on earnings. The researchers also noted that administrative data collection challenges limited their ability to include certain variables in the analysis. The conversation ended with participants encouraged to provide feedback via a survey and to complete a brief evaluation for CRC continuing education.</w:t>
      </w:r>
    </w:p>
    <w:sectPr w:rsidR="00591726" w:rsidSect="00362FD0">
      <w:headerReference w:type="default" r:id="rId10"/>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072E" w14:textId="77777777" w:rsidR="002D2B72" w:rsidRDefault="002D2B72" w:rsidP="00526DEC">
      <w:r>
        <w:separator/>
      </w:r>
    </w:p>
  </w:endnote>
  <w:endnote w:type="continuationSeparator" w:id="0">
    <w:p w14:paraId="2CEB749F" w14:textId="77777777" w:rsidR="002D2B72" w:rsidRDefault="002D2B72" w:rsidP="00526DEC">
      <w:r>
        <w:continuationSeparator/>
      </w:r>
    </w:p>
  </w:endnote>
  <w:endnote w:type="continuationNotice" w:id="1">
    <w:p w14:paraId="0EB531F9" w14:textId="77777777" w:rsidR="002D2B72" w:rsidRDefault="002D2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F027" w14:textId="77777777" w:rsidR="002D2B72" w:rsidRDefault="002D2B72" w:rsidP="00526DEC">
      <w:r>
        <w:separator/>
      </w:r>
    </w:p>
  </w:footnote>
  <w:footnote w:type="continuationSeparator" w:id="0">
    <w:p w14:paraId="22218C60" w14:textId="77777777" w:rsidR="002D2B72" w:rsidRDefault="002D2B72" w:rsidP="00526DEC">
      <w:r>
        <w:continuationSeparator/>
      </w:r>
    </w:p>
  </w:footnote>
  <w:footnote w:type="continuationNotice" w:id="1">
    <w:p w14:paraId="7DE8385D" w14:textId="77777777" w:rsidR="002D2B72" w:rsidRDefault="002D2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9481" w14:textId="684C4FA3" w:rsidR="00526DEC" w:rsidRDefault="00526DEC">
    <w:pPr>
      <w:pStyle w:val="Header"/>
    </w:pPr>
  </w:p>
  <w:p w14:paraId="00C1F4BB" w14:textId="77777777" w:rsidR="00526DEC" w:rsidRDefault="00526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C"/>
    <w:rsid w:val="00033DFD"/>
    <w:rsid w:val="00035CDA"/>
    <w:rsid w:val="000467B7"/>
    <w:rsid w:val="00075369"/>
    <w:rsid w:val="00087FE2"/>
    <w:rsid w:val="001605A4"/>
    <w:rsid w:val="00183E39"/>
    <w:rsid w:val="001843B2"/>
    <w:rsid w:val="001C6C7D"/>
    <w:rsid w:val="001E52FD"/>
    <w:rsid w:val="00215EFD"/>
    <w:rsid w:val="00222FBF"/>
    <w:rsid w:val="00237897"/>
    <w:rsid w:val="00242087"/>
    <w:rsid w:val="00255A27"/>
    <w:rsid w:val="00283F03"/>
    <w:rsid w:val="002C23E9"/>
    <w:rsid w:val="002D2B72"/>
    <w:rsid w:val="002F26FD"/>
    <w:rsid w:val="00362FD0"/>
    <w:rsid w:val="003C485A"/>
    <w:rsid w:val="003D7265"/>
    <w:rsid w:val="003E0EAE"/>
    <w:rsid w:val="003F3E0B"/>
    <w:rsid w:val="004142AD"/>
    <w:rsid w:val="00426E77"/>
    <w:rsid w:val="0045143B"/>
    <w:rsid w:val="004A3C78"/>
    <w:rsid w:val="004F2DB8"/>
    <w:rsid w:val="004F3D32"/>
    <w:rsid w:val="00521C99"/>
    <w:rsid w:val="00526DEC"/>
    <w:rsid w:val="00574170"/>
    <w:rsid w:val="00591726"/>
    <w:rsid w:val="005E02E8"/>
    <w:rsid w:val="005F69FD"/>
    <w:rsid w:val="00603E08"/>
    <w:rsid w:val="00670FFC"/>
    <w:rsid w:val="0067558C"/>
    <w:rsid w:val="00697610"/>
    <w:rsid w:val="00746316"/>
    <w:rsid w:val="00793A96"/>
    <w:rsid w:val="007B1E4F"/>
    <w:rsid w:val="007E286D"/>
    <w:rsid w:val="007E4CC7"/>
    <w:rsid w:val="00814EA3"/>
    <w:rsid w:val="00862AFC"/>
    <w:rsid w:val="008719DD"/>
    <w:rsid w:val="008910F3"/>
    <w:rsid w:val="00891664"/>
    <w:rsid w:val="008B55AB"/>
    <w:rsid w:val="008E0B6D"/>
    <w:rsid w:val="00905797"/>
    <w:rsid w:val="00916C41"/>
    <w:rsid w:val="00955FE3"/>
    <w:rsid w:val="00961853"/>
    <w:rsid w:val="009B4AA0"/>
    <w:rsid w:val="00A2120F"/>
    <w:rsid w:val="00A221B0"/>
    <w:rsid w:val="00A7306A"/>
    <w:rsid w:val="00B14288"/>
    <w:rsid w:val="00B22369"/>
    <w:rsid w:val="00B54AD3"/>
    <w:rsid w:val="00BD66AE"/>
    <w:rsid w:val="00C57A4C"/>
    <w:rsid w:val="00C61C5E"/>
    <w:rsid w:val="00C704D8"/>
    <w:rsid w:val="00CE67CC"/>
    <w:rsid w:val="00D03C8E"/>
    <w:rsid w:val="00D1146C"/>
    <w:rsid w:val="00D175DF"/>
    <w:rsid w:val="00DA0005"/>
    <w:rsid w:val="00DE674E"/>
    <w:rsid w:val="00E105D0"/>
    <w:rsid w:val="00E213A3"/>
    <w:rsid w:val="00E679C9"/>
    <w:rsid w:val="00E76C08"/>
    <w:rsid w:val="00E92571"/>
    <w:rsid w:val="00EC4767"/>
    <w:rsid w:val="00ED34E2"/>
    <w:rsid w:val="00ED5BAF"/>
    <w:rsid w:val="00EE1804"/>
    <w:rsid w:val="00F62A6D"/>
    <w:rsid w:val="00F81C38"/>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8C10"/>
  <w15:chartTrackingRefBased/>
  <w15:docId w15:val="{C03999F6-BACA-49EB-BB65-36421BC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603E08"/>
    <w:pPr>
      <w:keepNext/>
      <w:keepLines/>
      <w:spacing w:before="240"/>
      <w:outlineLvl w:val="0"/>
    </w:pPr>
    <w:rPr>
      <w:rFonts w:asciiTheme="majorHAnsi" w:eastAsiaTheme="majorEastAsia" w:hAnsiTheme="majorHAnsi" w:cstheme="majorBidi"/>
      <w:b/>
      <w:bCs/>
      <w:color w:val="2B3390"/>
      <w:sz w:val="44"/>
      <w:szCs w:val="44"/>
    </w:rPr>
  </w:style>
  <w:style w:type="paragraph" w:styleId="Heading2">
    <w:name w:val="heading 2"/>
    <w:basedOn w:val="Normal"/>
    <w:next w:val="Normal"/>
    <w:link w:val="Heading2Char"/>
    <w:uiPriority w:val="9"/>
    <w:unhideWhenUsed/>
    <w:qFormat/>
    <w:rsid w:val="00CE67CC"/>
    <w:pPr>
      <w:keepNext/>
      <w:keepLines/>
      <w:spacing w:before="240"/>
      <w:outlineLvl w:val="1"/>
    </w:pPr>
    <w:rPr>
      <w:rFonts w:asciiTheme="majorHAnsi" w:eastAsiaTheme="majorEastAsia" w:hAnsiTheme="majorHAnsi" w:cstheme="majorBidi"/>
      <w:b/>
      <w:bCs/>
      <w:color w:val="075F2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rsid w:val="00D03C8E"/>
    <w:pPr>
      <w:spacing w:before="120" w:after="240" w:line="262" w:lineRule="auto"/>
    </w:pPr>
    <w:rPr>
      <w:rFonts w:asciiTheme="minorHAnsi" w:hAnsiTheme="minorHAns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Title">
    <w:name w:val="Title"/>
    <w:basedOn w:val="Normal"/>
    <w:next w:val="Normal"/>
    <w:link w:val="TitleChar"/>
    <w:uiPriority w:val="10"/>
    <w:semiHidden/>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character" w:customStyle="1" w:styleId="Heading1Char">
    <w:name w:val="Heading 1 Char"/>
    <w:basedOn w:val="DefaultParagraphFont"/>
    <w:link w:val="Heading1"/>
    <w:uiPriority w:val="9"/>
    <w:rsid w:val="00603E08"/>
    <w:rPr>
      <w:rFonts w:asciiTheme="majorHAnsi" w:eastAsiaTheme="majorEastAsia" w:hAnsiTheme="majorHAnsi" w:cstheme="majorBidi"/>
      <w:b/>
      <w:bCs/>
      <w:color w:val="2B3390"/>
      <w:sz w:val="44"/>
      <w:szCs w:val="44"/>
    </w:rPr>
  </w:style>
  <w:style w:type="character" w:customStyle="1" w:styleId="Heading2Char">
    <w:name w:val="Heading 2 Char"/>
    <w:basedOn w:val="DefaultParagraphFont"/>
    <w:link w:val="Heading2"/>
    <w:uiPriority w:val="9"/>
    <w:rsid w:val="00CE67CC"/>
    <w:rPr>
      <w:rFonts w:asciiTheme="majorHAnsi" w:eastAsiaTheme="majorEastAsia" w:hAnsiTheme="majorHAnsi" w:cstheme="majorBidi"/>
      <w:b/>
      <w:bCs/>
      <w:color w:val="075F2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8" ma:contentTypeDescription="Create a new document." ma:contentTypeScope="" ma:versionID="15cfc88a79c19424a9619fa9d26e1d8f">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9f8ad3cccd31f865cbdc2194b41c44b6"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C9402-E796-4FC7-BB6B-37B96214E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BCBBA-FD75-4FFD-9D17-FB32C926D01C}">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3.xml><?xml version="1.0" encoding="utf-8"?>
<ds:datastoreItem xmlns:ds="http://schemas.openxmlformats.org/officeDocument/2006/customXml" ds:itemID="{F29DE559-DA4E-4C92-8230-7DFADCDF5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767</Words>
  <Characters>4469</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Your Voice, Your Impact: Shaping the Future of VR-ROI Webinar Transcript</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Voice, Your Impact: Shaping the Future of VR-ROI Summary – October 23, 2025</dc:title>
  <dc:subject/>
  <dc:creator>lalley@eri-wi.org</dc:creator>
  <cp:keywords/>
  <dc:description/>
  <cp:lastModifiedBy>Dawn Lalley</cp:lastModifiedBy>
  <cp:revision>14</cp:revision>
  <cp:lastPrinted>2020-03-03T21:49:00Z</cp:lastPrinted>
  <dcterms:created xsi:type="dcterms:W3CDTF">2026-02-27T22:20:00Z</dcterms:created>
  <dcterms:modified xsi:type="dcterms:W3CDTF">2026-02-27T22:42:00Z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46037200</vt:r8>
  </property>
  <property fmtid="{D5CDD505-2E9C-101B-9397-08002B2CF9AE}" pid="4" name="MediaServiceImageTags">
    <vt:lpwstr/>
  </property>
</Properties>
</file>