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A30F9" w14:textId="2CE5B217" w:rsidR="00071E5A" w:rsidRDefault="00071E5A" w:rsidP="00071E5A">
      <w:pPr>
        <w:pStyle w:val="Heading1"/>
      </w:pPr>
      <w:r>
        <w:rPr>
          <w:noProof/>
        </w:rPr>
        <w:drawing>
          <wp:inline distT="0" distB="0" distL="0" distR="0" wp14:anchorId="02EDE4BE" wp14:editId="1BC679E2">
            <wp:extent cx="2333625" cy="666750"/>
            <wp:effectExtent l="0" t="0" r="0" b="0"/>
            <wp:docPr id="1551830922" name="Picture 1" descr="VR-RO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30922" name="Picture 1" descr="VR-ROI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248DA" w14:textId="0B4FCE4E" w:rsidR="00454E36" w:rsidRPr="00071E5A" w:rsidRDefault="00A303EB" w:rsidP="00071E5A">
      <w:pPr>
        <w:pStyle w:val="Heading1"/>
      </w:pPr>
      <w:r w:rsidRPr="00071E5A">
        <w:t>Return on Investment in Vocational Rehabilitation: A Primer</w:t>
      </w:r>
    </w:p>
    <w:p w14:paraId="28E7BECC" w14:textId="37F0D33A" w:rsidR="001D3815" w:rsidRDefault="00454E36" w:rsidP="00CF27D7">
      <w:pPr>
        <w:spacing w:after="120" w:line="264" w:lineRule="auto"/>
        <w:rPr>
          <w:b/>
          <w:bCs/>
          <w:sz w:val="40"/>
          <w:szCs w:val="32"/>
        </w:rPr>
      </w:pPr>
      <w:r w:rsidRPr="00071E5A">
        <w:rPr>
          <w:rStyle w:val="SubtitleChar"/>
          <w:rFonts w:eastAsiaTheme="minorHAnsi"/>
          <w:sz w:val="44"/>
          <w:szCs w:val="44"/>
        </w:rPr>
        <w:t>Made possible by a grant from the National Institute on Disability, Independent Living, and Rehabilitation Research #90IFDV0028.</w:t>
      </w:r>
      <w:r w:rsidR="00A303EB" w:rsidRPr="00A303EB">
        <w:rPr>
          <w:b/>
          <w:bCs/>
        </w:rPr>
        <w:br/>
      </w:r>
      <w:r w:rsidR="00A303EB" w:rsidRPr="00A303EB">
        <w:rPr>
          <w:b/>
          <w:bCs/>
          <w:sz w:val="40"/>
          <w:szCs w:val="32"/>
        </w:rPr>
        <w:t xml:space="preserve">Lesson </w:t>
      </w:r>
      <w:r w:rsidR="00EA7373">
        <w:rPr>
          <w:b/>
          <w:bCs/>
          <w:sz w:val="40"/>
          <w:szCs w:val="32"/>
        </w:rPr>
        <w:t>2</w:t>
      </w:r>
      <w:r w:rsidR="00A303EB" w:rsidRPr="00A303EB">
        <w:rPr>
          <w:b/>
          <w:bCs/>
          <w:sz w:val="40"/>
          <w:szCs w:val="32"/>
        </w:rPr>
        <w:t>:</w:t>
      </w:r>
      <w:r w:rsidRPr="00071E5A">
        <w:rPr>
          <w:b/>
          <w:bCs/>
          <w:sz w:val="40"/>
          <w:szCs w:val="32"/>
        </w:rPr>
        <w:t xml:space="preserve"> </w:t>
      </w:r>
      <w:r w:rsidR="000E30AD" w:rsidRPr="000E30AD">
        <w:rPr>
          <w:b/>
          <w:bCs/>
          <w:sz w:val="40"/>
          <w:szCs w:val="32"/>
        </w:rPr>
        <w:t>The VR-ROI Project</w:t>
      </w:r>
    </w:p>
    <w:p w14:paraId="716DD28B" w14:textId="67F87C94" w:rsidR="001D3815" w:rsidRPr="001D3815" w:rsidRDefault="001D3815" w:rsidP="006752E9">
      <w:pPr>
        <w:pStyle w:val="Heading2"/>
      </w:pPr>
      <w:r w:rsidRPr="001D3815">
        <w:t>Overview and Instructions</w:t>
      </w:r>
    </w:p>
    <w:p w14:paraId="1D330154" w14:textId="77777777" w:rsidR="001D3815" w:rsidRPr="001D3815" w:rsidRDefault="001D3815" w:rsidP="006752E9">
      <w:pPr>
        <w:pStyle w:val="Heading2"/>
      </w:pPr>
      <w:r w:rsidRPr="001D3815">
        <w:t>Beginning Instructions</w:t>
      </w:r>
    </w:p>
    <w:p w14:paraId="48C6BD78" w14:textId="77777777" w:rsidR="001D3815" w:rsidRDefault="001D3815" w:rsidP="005E704B">
      <w:r w:rsidRPr="001D3815">
        <w:t xml:space="preserve">The VR ROI 101 lessons are intended to provide useful information regarding </w:t>
      </w:r>
      <w:proofErr w:type="gramStart"/>
      <w:r w:rsidRPr="001D3815">
        <w:t>Return on Investment</w:t>
      </w:r>
      <w:proofErr w:type="gramEnd"/>
      <w:r w:rsidRPr="001D3815">
        <w:t xml:space="preserve"> concepts.</w:t>
      </w:r>
    </w:p>
    <w:p w14:paraId="198D25E7" w14:textId="77777777" w:rsidR="005E704B" w:rsidRPr="001D3815" w:rsidRDefault="005E704B" w:rsidP="005E704B"/>
    <w:p w14:paraId="0B5F8927" w14:textId="77777777" w:rsidR="001D3815" w:rsidRPr="001D3815" w:rsidRDefault="001D3815" w:rsidP="005E704B">
      <w:r w:rsidRPr="001D3815">
        <w:t xml:space="preserve">The intent is to use all 3 </w:t>
      </w:r>
      <w:proofErr w:type="gramStart"/>
      <w:r w:rsidRPr="001D3815">
        <w:t>lessons</w:t>
      </w:r>
      <w:proofErr w:type="gramEnd"/>
    </w:p>
    <w:p w14:paraId="6B1D4780" w14:textId="07040FDD" w:rsidR="001D3815" w:rsidRPr="001D3815" w:rsidRDefault="001D3815" w:rsidP="005E704B">
      <w:pPr>
        <w:pStyle w:val="ListParagraph"/>
        <w:numPr>
          <w:ilvl w:val="0"/>
          <w:numId w:val="90"/>
        </w:numPr>
      </w:pPr>
      <w:r w:rsidRPr="001D3815">
        <w:t>(1 – Basic Terminology, 2 – The VR ROI Project, and 3 – VR ROI applied examples)</w:t>
      </w:r>
    </w:p>
    <w:p w14:paraId="5D4CEB64" w14:textId="77777777" w:rsidR="001D3815" w:rsidRDefault="001D3815" w:rsidP="005E704B">
      <w:r w:rsidRPr="001D3815">
        <w:t>to enhance your understanding of ROI and your confidence in accurately applying ROI concepts in your work setting.</w:t>
      </w:r>
    </w:p>
    <w:p w14:paraId="06F2CDFC" w14:textId="77777777" w:rsidR="005E704B" w:rsidRPr="001D3815" w:rsidRDefault="005E704B" w:rsidP="005E704B"/>
    <w:p w14:paraId="76617E15" w14:textId="4E43B342" w:rsidR="001D3815" w:rsidRPr="00EF5A61" w:rsidRDefault="001D3815" w:rsidP="005E704B">
      <w:r w:rsidRPr="001D3815">
        <w:t xml:space="preserve">Be sure that you view Lesson 1 and </w:t>
      </w:r>
      <w:proofErr w:type="gramStart"/>
      <w:r w:rsidRPr="001D3815">
        <w:t>have an understanding of</w:t>
      </w:r>
      <w:proofErr w:type="gramEnd"/>
      <w:r w:rsidRPr="001D3815">
        <w:t xml:space="preserve"> basic ROI terminology before continuing!  </w:t>
      </w:r>
    </w:p>
    <w:p w14:paraId="152EE58A" w14:textId="77777777" w:rsidR="001D3815" w:rsidRPr="001D3815" w:rsidRDefault="001D3815" w:rsidP="006752E9">
      <w:pPr>
        <w:pStyle w:val="Heading2"/>
      </w:pPr>
      <w:r w:rsidRPr="001D3815">
        <w:t>Continuing Education Credit</w:t>
      </w:r>
    </w:p>
    <w:p w14:paraId="4328A6FD" w14:textId="77777777" w:rsidR="001D3815" w:rsidRDefault="001D3815" w:rsidP="005E704B">
      <w:r w:rsidRPr="001D3815">
        <w:t>You may use the VR ROI 101 Lessons to expand your knowledge of this topic and to earn continuing education credits.</w:t>
      </w:r>
    </w:p>
    <w:p w14:paraId="1E9490F1" w14:textId="77777777" w:rsidR="005E704B" w:rsidRPr="001D3815" w:rsidRDefault="005E704B" w:rsidP="005E704B"/>
    <w:p w14:paraId="5F4892BC" w14:textId="3DD9530D" w:rsidR="005E704B" w:rsidRPr="001D3815" w:rsidRDefault="001D3815" w:rsidP="005E704B">
      <w:r w:rsidRPr="001D3815">
        <w:t xml:space="preserve">When you complete all 3 ROI 101 lessons, complete the </w:t>
      </w:r>
      <w:proofErr w:type="gramStart"/>
      <w:r w:rsidRPr="001D3815">
        <w:t>evaluation</w:t>
      </w:r>
      <w:proofErr w:type="gramEnd"/>
      <w:r w:rsidRPr="001D3815">
        <w:t xml:space="preserve"> and earn 2 CRC (Certified Rehabilitation Counselor) continuing education hours.</w:t>
      </w:r>
    </w:p>
    <w:p w14:paraId="1E21579F" w14:textId="77777777" w:rsidR="001D3815" w:rsidRDefault="001D3815" w:rsidP="005E704B">
      <w:r w:rsidRPr="001D3815">
        <w:lastRenderedPageBreak/>
        <w:t>Once you complete the survey, your certificate will be available for download.</w:t>
      </w:r>
    </w:p>
    <w:p w14:paraId="3AC99E2E" w14:textId="77777777" w:rsidR="00544F8A" w:rsidRPr="001D3815" w:rsidRDefault="00544F8A" w:rsidP="005E704B"/>
    <w:p w14:paraId="13D5986D" w14:textId="7A82127E" w:rsidR="001D3815" w:rsidRPr="00EF5A61" w:rsidRDefault="001D3815" w:rsidP="005E704B">
      <w:r w:rsidRPr="001D3815">
        <w:t>These credits are pre-approved by the Commission on Rehabilitation Counselor Certification. You can also submit your CRC Credit Certificate for post-approved credit with other licensure or certifying bodies.</w:t>
      </w:r>
    </w:p>
    <w:p w14:paraId="730051DB" w14:textId="3439ED69" w:rsidR="001D3815" w:rsidRPr="00EF5A61" w:rsidRDefault="001D3815" w:rsidP="006752E9">
      <w:pPr>
        <w:pStyle w:val="Heading2"/>
      </w:pPr>
      <w:r w:rsidRPr="001D3815">
        <w:t>Review and Overview</w:t>
      </w:r>
    </w:p>
    <w:p w14:paraId="6E51427C" w14:textId="77777777" w:rsidR="001D3815" w:rsidRPr="001D3815" w:rsidRDefault="001D3815" w:rsidP="006752E9">
      <w:pPr>
        <w:pStyle w:val="Heading2"/>
      </w:pPr>
      <w:r w:rsidRPr="001D3815">
        <w:t>Quick Review of Lesson 1</w:t>
      </w:r>
    </w:p>
    <w:p w14:paraId="3E709219" w14:textId="77777777" w:rsidR="001D3815" w:rsidRPr="001D3815" w:rsidRDefault="001D3815" w:rsidP="00544F8A">
      <w:r w:rsidRPr="001D3815">
        <w:t>In Lesson 1, you learned about some:</w:t>
      </w:r>
    </w:p>
    <w:p w14:paraId="7FA19714" w14:textId="77777777" w:rsidR="001D3815" w:rsidRPr="001D3815" w:rsidRDefault="001D3815" w:rsidP="00544F8A">
      <w:pPr>
        <w:pStyle w:val="ListParagraph"/>
        <w:numPr>
          <w:ilvl w:val="0"/>
          <w:numId w:val="90"/>
        </w:numPr>
      </w:pPr>
      <w:r w:rsidRPr="001D3815">
        <w:t xml:space="preserve">ethical considerations regarding the use of </w:t>
      </w:r>
      <w:proofErr w:type="gramStart"/>
      <w:r w:rsidRPr="001D3815">
        <w:t>ROI;</w:t>
      </w:r>
      <w:proofErr w:type="gramEnd"/>
    </w:p>
    <w:p w14:paraId="752DDDD6" w14:textId="77777777" w:rsidR="001D3815" w:rsidRPr="001D3815" w:rsidRDefault="001D3815" w:rsidP="00544F8A">
      <w:pPr>
        <w:pStyle w:val="ListParagraph"/>
        <w:numPr>
          <w:ilvl w:val="0"/>
          <w:numId w:val="90"/>
        </w:numPr>
      </w:pPr>
      <w:r w:rsidRPr="001D3815">
        <w:t xml:space="preserve">definitions of key Return on Investment terms (Investment, Return, ROI to </w:t>
      </w:r>
      <w:proofErr w:type="gramStart"/>
      <w:r w:rsidRPr="001D3815">
        <w:t>Whom?,</w:t>
      </w:r>
      <w:proofErr w:type="gramEnd"/>
      <w:r w:rsidRPr="001D3815">
        <w:t xml:space="preserve"> TVOM or Time Value of Money, Net Present Value, Benefit to Cost Ratio, Internal Rate of Return); and</w:t>
      </w:r>
    </w:p>
    <w:p w14:paraId="7BA45971" w14:textId="77777777" w:rsidR="001D3815" w:rsidRDefault="001D3815" w:rsidP="00544F8A">
      <w:pPr>
        <w:pStyle w:val="ListParagraph"/>
        <w:numPr>
          <w:ilvl w:val="0"/>
          <w:numId w:val="90"/>
        </w:numPr>
      </w:pPr>
      <w:r w:rsidRPr="001D3815">
        <w:t>advantages and disadvantages of the forms for reporting ROI.</w:t>
      </w:r>
    </w:p>
    <w:p w14:paraId="7A19983F" w14:textId="77777777" w:rsidR="00544F8A" w:rsidRPr="001D3815" w:rsidRDefault="00544F8A" w:rsidP="00544F8A">
      <w:pPr>
        <w:pStyle w:val="ListParagraph"/>
      </w:pPr>
    </w:p>
    <w:p w14:paraId="6B084A3F" w14:textId="77777777" w:rsidR="001D3815" w:rsidRDefault="001D3815" w:rsidP="00544F8A">
      <w:r w:rsidRPr="001D3815">
        <w:t>This information should be of assistance as you learn more in this module about the VR ROI model and project.</w:t>
      </w:r>
    </w:p>
    <w:p w14:paraId="71847227" w14:textId="77777777" w:rsidR="00544F8A" w:rsidRPr="001D3815" w:rsidRDefault="00544F8A" w:rsidP="00544F8A"/>
    <w:p w14:paraId="2139181C" w14:textId="2421C38C" w:rsidR="001D3815" w:rsidRPr="00805863" w:rsidRDefault="001D3815" w:rsidP="00544F8A">
      <w:r w:rsidRPr="001D3815">
        <w:t>In Module 2, you will be introduced to the VR ROI Project which utilizes ROI modeling within the context of vocational rehabilitation programs.</w:t>
      </w:r>
    </w:p>
    <w:p w14:paraId="265EB2DB" w14:textId="77777777" w:rsidR="001D3815" w:rsidRPr="001D3815" w:rsidRDefault="001D3815" w:rsidP="006752E9">
      <w:pPr>
        <w:pStyle w:val="Heading2"/>
      </w:pPr>
      <w:r w:rsidRPr="001D3815">
        <w:t>Multiple Different Approaches</w:t>
      </w:r>
    </w:p>
    <w:p w14:paraId="1A003661" w14:textId="77777777" w:rsidR="001D3815" w:rsidRDefault="001D3815" w:rsidP="003E5439">
      <w:r w:rsidRPr="001D3815">
        <w:t>Different approaches have been used to estimate the ROI for VR services.</w:t>
      </w:r>
    </w:p>
    <w:p w14:paraId="2590A634" w14:textId="77777777" w:rsidR="003E5439" w:rsidRPr="001D3815" w:rsidRDefault="003E5439" w:rsidP="003E5439"/>
    <w:p w14:paraId="1532F145" w14:textId="77777777" w:rsidR="001D3815" w:rsidRDefault="001D3815" w:rsidP="003E5439">
      <w:r w:rsidRPr="001D3815">
        <w:t>These approaches use different types of data and statistical models and vary in complexity and rigor.</w:t>
      </w:r>
    </w:p>
    <w:p w14:paraId="2CB3D549" w14:textId="77777777" w:rsidR="003E5439" w:rsidRPr="001D3815" w:rsidRDefault="003E5439" w:rsidP="003E5439"/>
    <w:p w14:paraId="4281C1DA" w14:textId="1F134656" w:rsidR="003E5439" w:rsidRPr="00B4705A" w:rsidRDefault="001D3815" w:rsidP="005620CC">
      <w:pPr>
        <w:rPr>
          <w:b/>
          <w:bCs/>
          <w:color w:val="254264" w:themeColor="accent6"/>
          <w:u w:val="single"/>
        </w:rPr>
      </w:pPr>
      <w:r w:rsidRPr="001D3815">
        <w:t xml:space="preserve">Description of several approaches can be found in the 38th Institute on Rehabilitation Issues publication, available at </w:t>
      </w:r>
      <w:hyperlink r:id="rId9" w:history="1">
        <w:r w:rsidRPr="00B4705A">
          <w:rPr>
            <w:rStyle w:val="Hyperlink"/>
            <w:b/>
            <w:bCs/>
            <w:color w:val="254264" w:themeColor="accent6"/>
          </w:rPr>
          <w:t>https://vrroi.org/resources/institute-on-rehabilitation-issues-roi/</w:t>
        </w:r>
      </w:hyperlink>
    </w:p>
    <w:p w14:paraId="1F30C2D9" w14:textId="77777777" w:rsidR="005620CC" w:rsidRPr="005620CC" w:rsidRDefault="005620CC" w:rsidP="005620CC">
      <w:pPr>
        <w:rPr>
          <w:b/>
          <w:bCs/>
          <w:color w:val="254264" w:themeColor="accent6"/>
          <w:u w:val="single"/>
        </w:rPr>
      </w:pPr>
    </w:p>
    <w:p w14:paraId="3499C635" w14:textId="64163ED5" w:rsidR="001D3815" w:rsidRPr="00805863" w:rsidRDefault="001D3815" w:rsidP="003E5439">
      <w:r w:rsidRPr="001D3815">
        <w:t>The VR ROI project uses an approach to estimating ROI that differs from previous efforts.</w:t>
      </w:r>
    </w:p>
    <w:p w14:paraId="3916B857" w14:textId="679402E5" w:rsidR="00805863" w:rsidRPr="00805863" w:rsidRDefault="001D3815" w:rsidP="006752E9">
      <w:pPr>
        <w:pStyle w:val="Heading2"/>
      </w:pPr>
      <w:r w:rsidRPr="001D3815">
        <w:lastRenderedPageBreak/>
        <w:t>VR ROI Project Overview</w:t>
      </w:r>
    </w:p>
    <w:p w14:paraId="2A3E6C80" w14:textId="77777777" w:rsidR="001D3815" w:rsidRPr="001D3815" w:rsidRDefault="001D3815" w:rsidP="006752E9">
      <w:pPr>
        <w:pStyle w:val="Heading2"/>
      </w:pPr>
      <w:r w:rsidRPr="001D3815">
        <w:t>The VR ROI Project</w:t>
      </w:r>
    </w:p>
    <w:p w14:paraId="0A0AC208" w14:textId="506FDAD3" w:rsidR="001D3815" w:rsidRPr="00805863" w:rsidRDefault="001D3815" w:rsidP="00805863">
      <w:r w:rsidRPr="001D3815">
        <w:t>Funded by NIDILRR (National Institute on Disability, Independent Living, and Rehabilitation Research, formerly NIDRR)</w:t>
      </w:r>
    </w:p>
    <w:p w14:paraId="59C27609" w14:textId="77777777" w:rsidR="001D3815" w:rsidRPr="001D3815" w:rsidRDefault="001D3815" w:rsidP="006752E9">
      <w:pPr>
        <w:pStyle w:val="Heading2"/>
      </w:pPr>
      <w:r w:rsidRPr="001D3815">
        <w:t>The VR ROI Project: Some History (1 of 2)</w:t>
      </w:r>
    </w:p>
    <w:p w14:paraId="14371BE7" w14:textId="77777777" w:rsidR="001D3815" w:rsidRPr="001D3815" w:rsidRDefault="001D3815" w:rsidP="002447A8">
      <w:r w:rsidRPr="001D3815">
        <w:t>First grant started in 2010, partnering with 4 state VR agencies:  Maryland Combined, Oklahoma Combined, Virginia General and Blind</w:t>
      </w:r>
    </w:p>
    <w:p w14:paraId="21361E39" w14:textId="77777777" w:rsidR="001D3815" w:rsidRDefault="001D3815" w:rsidP="002447A8">
      <w:pPr>
        <w:pStyle w:val="ListParagraph"/>
        <w:numPr>
          <w:ilvl w:val="0"/>
          <w:numId w:val="91"/>
        </w:numPr>
      </w:pPr>
      <w:r w:rsidRPr="001D3815">
        <w:t>Objective: Test the applicability of valid, methodologically rigorous processes for assessing ROI at a state agency level</w:t>
      </w:r>
    </w:p>
    <w:p w14:paraId="697D3E58" w14:textId="77777777" w:rsidR="002447A8" w:rsidRPr="001D3815" w:rsidRDefault="002447A8" w:rsidP="002447A8">
      <w:pPr>
        <w:pStyle w:val="ListParagraph"/>
        <w:ind w:left="1080"/>
      </w:pPr>
    </w:p>
    <w:p w14:paraId="3432381D" w14:textId="77777777" w:rsidR="001D3815" w:rsidRPr="001D3815" w:rsidRDefault="001D3815" w:rsidP="002447A8">
      <w:proofErr w:type="gramStart"/>
      <w:r w:rsidRPr="001D3815">
        <w:t>Second</w:t>
      </w:r>
      <w:proofErr w:type="gramEnd"/>
      <w:r w:rsidRPr="001D3815">
        <w:t xml:space="preserve"> grant started in 2014, expanding to include Delaware General, Kentucky General, North Carolina General and Blind, and Texas Combined. Objectives:</w:t>
      </w:r>
    </w:p>
    <w:p w14:paraId="059F8E59" w14:textId="77777777" w:rsidR="001D3815" w:rsidRPr="001D3815" w:rsidRDefault="001D3815" w:rsidP="002447A8">
      <w:pPr>
        <w:pStyle w:val="ListParagraph"/>
        <w:numPr>
          <w:ilvl w:val="0"/>
          <w:numId w:val="91"/>
        </w:numPr>
      </w:pPr>
      <w:r w:rsidRPr="001D3815">
        <w:t xml:space="preserve">Refine and test the ROI model with a more heterogeneous set of state </w:t>
      </w:r>
      <w:proofErr w:type="gramStart"/>
      <w:r w:rsidRPr="001D3815">
        <w:t>agencies</w:t>
      </w:r>
      <w:proofErr w:type="gramEnd"/>
    </w:p>
    <w:p w14:paraId="7B74FE73" w14:textId="7A81F4AC" w:rsidR="001D3815" w:rsidRPr="005620CC" w:rsidRDefault="001D3815" w:rsidP="005620CC">
      <w:pPr>
        <w:pStyle w:val="ListParagraph"/>
        <w:numPr>
          <w:ilvl w:val="0"/>
          <w:numId w:val="91"/>
        </w:numPr>
      </w:pPr>
      <w:r w:rsidRPr="001D3815">
        <w:t xml:space="preserve">Develop and test the applicability of a user-friendly Web-based “ROI </w:t>
      </w:r>
      <w:proofErr w:type="gramStart"/>
      <w:r w:rsidRPr="001D3815">
        <w:t>Estimator”</w:t>
      </w:r>
      <w:proofErr w:type="gramEnd"/>
    </w:p>
    <w:p w14:paraId="52528A39" w14:textId="77777777" w:rsidR="001D3815" w:rsidRPr="001D3815" w:rsidRDefault="001D3815" w:rsidP="006752E9">
      <w:pPr>
        <w:pStyle w:val="Heading2"/>
      </w:pPr>
      <w:r w:rsidRPr="001D3815">
        <w:t>The VR ROI Project: Some History (2 of 2)</w:t>
      </w:r>
    </w:p>
    <w:p w14:paraId="438D7DB4" w14:textId="77777777" w:rsidR="001D3815" w:rsidRPr="001D3815" w:rsidRDefault="001D3815" w:rsidP="002447A8">
      <w:r w:rsidRPr="001D3815">
        <w:t>Current grant started in 2022, partnering with North Carolina Division of Services for the Blind and Division of Rehabilitation Services.</w:t>
      </w:r>
    </w:p>
    <w:p w14:paraId="261C49CB" w14:textId="77777777" w:rsidR="001D3815" w:rsidRPr="001D3815" w:rsidRDefault="001D3815" w:rsidP="002447A8">
      <w:pPr>
        <w:pStyle w:val="ListParagraph"/>
        <w:numPr>
          <w:ilvl w:val="0"/>
          <w:numId w:val="91"/>
        </w:numPr>
      </w:pPr>
      <w:r w:rsidRPr="001D3815">
        <w:t>Goal 1: Update Data. Our refined VR ROI model uses agency data for individuals who applied for VR services between 2017 to 2021; i.e., after revised WIOA common performance measures were integrated into program data collection. Updated data allow investigation of correlations between common performance data elements and long-term employment outcomes, as well as COVID-impacted service provision and outcomes.</w:t>
      </w:r>
    </w:p>
    <w:p w14:paraId="2647BDB3" w14:textId="77777777" w:rsidR="001D3815" w:rsidRPr="001D3815" w:rsidRDefault="001D3815" w:rsidP="002447A8">
      <w:pPr>
        <w:pStyle w:val="ListParagraph"/>
        <w:numPr>
          <w:ilvl w:val="0"/>
          <w:numId w:val="91"/>
        </w:numPr>
      </w:pPr>
      <w:r w:rsidRPr="001D3815">
        <w:t>Goal 2: Measures of Service Intensity. Our post-WIOA model will include measures to account for VR-delivered service intensity, such as expenditures, service units, and variation between vendor and in-house provided services.</w:t>
      </w:r>
    </w:p>
    <w:p w14:paraId="29454469" w14:textId="77777777" w:rsidR="001D3815" w:rsidRPr="001D3815" w:rsidRDefault="001D3815" w:rsidP="002447A8">
      <w:pPr>
        <w:pStyle w:val="ListParagraph"/>
        <w:numPr>
          <w:ilvl w:val="0"/>
          <w:numId w:val="91"/>
        </w:numPr>
      </w:pPr>
      <w:r w:rsidRPr="001D3815">
        <w:t>Goal 3: Simplified VR ROI Model. We will explore the econometric characteristics of a simplified and more accessible version of the VR ROI model that can be used by VR agencies across the country. This will put VR agencies in a better position to make timely decisions for enhancing services for their consumers with disabilities.</w:t>
      </w:r>
    </w:p>
    <w:p w14:paraId="76357DA7" w14:textId="2585D366" w:rsidR="001D3815" w:rsidRPr="00DD53F3" w:rsidRDefault="001D3815" w:rsidP="002447A8">
      <w:pPr>
        <w:pStyle w:val="ListParagraph"/>
        <w:numPr>
          <w:ilvl w:val="0"/>
          <w:numId w:val="91"/>
        </w:numPr>
      </w:pPr>
      <w:r w:rsidRPr="001D3815">
        <w:lastRenderedPageBreak/>
        <w:t>Goal 4: Knowledge Translation. We will use community-based participatory research methods with stakeholder groups to solicit input on model development and relevant products for understanding and utilizing VR ROI models to improve VR services.</w:t>
      </w:r>
    </w:p>
    <w:p w14:paraId="7D2259B0" w14:textId="77777777" w:rsidR="001D3815" w:rsidRPr="001D3815" w:rsidRDefault="001D3815" w:rsidP="006752E9">
      <w:pPr>
        <w:pStyle w:val="Heading2"/>
      </w:pPr>
      <w:r w:rsidRPr="001D3815">
        <w:t>VR ROI Project’s Approach (1 of 2)</w:t>
      </w:r>
    </w:p>
    <w:p w14:paraId="29D7B60A" w14:textId="77777777" w:rsidR="001D3815" w:rsidRPr="001D3815" w:rsidRDefault="001D3815" w:rsidP="002447A8">
      <w:r w:rsidRPr="001D3815">
        <w:t xml:space="preserve">“This is not your father’s VR </w:t>
      </w:r>
      <w:proofErr w:type="gramStart"/>
      <w:r w:rsidRPr="001D3815">
        <w:t>ROI</w:t>
      </w:r>
      <w:proofErr w:type="gramEnd"/>
      <w:r w:rsidRPr="001D3815">
        <w:t>”</w:t>
      </w:r>
    </w:p>
    <w:p w14:paraId="536F7646" w14:textId="77777777" w:rsidR="001D3815" w:rsidRDefault="001D3815" w:rsidP="00E94E69">
      <w:pPr>
        <w:pStyle w:val="ListParagraph"/>
        <w:numPr>
          <w:ilvl w:val="0"/>
          <w:numId w:val="91"/>
        </w:numPr>
      </w:pPr>
      <w:r w:rsidRPr="001D3815">
        <w:t>The approach is much richer than a simple formula to calculate ROI for a generic VR customer who receives a generic VR service package.</w:t>
      </w:r>
    </w:p>
    <w:p w14:paraId="5E46D9F4" w14:textId="77777777" w:rsidR="00E94E69" w:rsidRPr="001D3815" w:rsidRDefault="00E94E69" w:rsidP="00E94E69">
      <w:pPr>
        <w:pStyle w:val="ListParagraph"/>
      </w:pPr>
    </w:p>
    <w:p w14:paraId="761930B2" w14:textId="77777777" w:rsidR="001D3815" w:rsidRPr="001D3815" w:rsidRDefault="001D3815" w:rsidP="00E94E69">
      <w:r w:rsidRPr="001D3815">
        <w:t>From the agency’s perspective, the project can be used as:</w:t>
      </w:r>
    </w:p>
    <w:p w14:paraId="3F6E11A1" w14:textId="77777777" w:rsidR="001D3815" w:rsidRPr="001D3815" w:rsidRDefault="001D3815" w:rsidP="00E94E69">
      <w:pPr>
        <w:pStyle w:val="ListParagraph"/>
        <w:numPr>
          <w:ilvl w:val="0"/>
          <w:numId w:val="91"/>
        </w:numPr>
      </w:pPr>
      <w:r w:rsidRPr="001D3815">
        <w:t>A supplement to WIOA’s Common Measures</w:t>
      </w:r>
    </w:p>
    <w:p w14:paraId="7CA715CA" w14:textId="77777777" w:rsidR="001D3815" w:rsidRPr="001D3815" w:rsidRDefault="001D3815" w:rsidP="00E94E69">
      <w:pPr>
        <w:pStyle w:val="ListParagraph"/>
        <w:numPr>
          <w:ilvl w:val="0"/>
          <w:numId w:val="91"/>
        </w:numPr>
      </w:pPr>
      <w:r w:rsidRPr="001D3815">
        <w:t xml:space="preserve">A tool to learn about your specific </w:t>
      </w:r>
      <w:proofErr w:type="gramStart"/>
      <w:r w:rsidRPr="001D3815">
        <w:t>program</w:t>
      </w:r>
      <w:proofErr w:type="gramEnd"/>
    </w:p>
    <w:p w14:paraId="4C6AA769" w14:textId="2A221A25" w:rsidR="001D3815" w:rsidRPr="00DD53F3" w:rsidRDefault="001D3815" w:rsidP="00E94E69">
      <w:pPr>
        <w:pStyle w:val="ListParagraph"/>
        <w:numPr>
          <w:ilvl w:val="0"/>
          <w:numId w:val="91"/>
        </w:numPr>
      </w:pPr>
      <w:r w:rsidRPr="001D3815">
        <w:t xml:space="preserve">A means to satisfy legislators’ information needs with rigorous ROI </w:t>
      </w:r>
      <w:proofErr w:type="gramStart"/>
      <w:r w:rsidRPr="001D3815">
        <w:t>data</w:t>
      </w:r>
      <w:proofErr w:type="gramEnd"/>
    </w:p>
    <w:p w14:paraId="32A550CB" w14:textId="77777777" w:rsidR="001D3815" w:rsidRPr="001D3815" w:rsidRDefault="001D3815" w:rsidP="006752E9">
      <w:pPr>
        <w:pStyle w:val="Heading2"/>
      </w:pPr>
      <w:r w:rsidRPr="001D3815">
        <w:t>VR ROI Project’s Approach (2 of 2)</w:t>
      </w:r>
    </w:p>
    <w:p w14:paraId="0B1959EF" w14:textId="77777777" w:rsidR="001D3815" w:rsidRPr="001D3815" w:rsidRDefault="001D3815" w:rsidP="00E94E69">
      <w:r w:rsidRPr="001D3815">
        <w:t>Although the cost side presents its own issues, estimating benefits of VR services receipt is by far the most challenging aspect of estimating VR ROI.</w:t>
      </w:r>
    </w:p>
    <w:p w14:paraId="669BE5A9" w14:textId="77777777" w:rsidR="001D3815" w:rsidRPr="001D3815" w:rsidRDefault="001D3815" w:rsidP="00E94E69">
      <w:pPr>
        <w:pStyle w:val="ListParagraph"/>
        <w:numPr>
          <w:ilvl w:val="0"/>
          <w:numId w:val="91"/>
        </w:numPr>
      </w:pPr>
      <w:r w:rsidRPr="001D3815">
        <w:t>Attempts to answer the question, how would this VR customer have fared in the labor market had she or he not received VR services.</w:t>
      </w:r>
    </w:p>
    <w:p w14:paraId="05C67B4F" w14:textId="77777777" w:rsidR="001D3815" w:rsidRDefault="001D3815" w:rsidP="00E94E69">
      <w:pPr>
        <w:pStyle w:val="ListParagraph"/>
        <w:numPr>
          <w:ilvl w:val="0"/>
          <w:numId w:val="91"/>
        </w:numPr>
      </w:pPr>
      <w:r w:rsidRPr="001D3815">
        <w:t>Because this counterfactual cannot be answered directly and randomized clinical trials are costly and present their own issues, it is addressed statistically.</w:t>
      </w:r>
    </w:p>
    <w:p w14:paraId="56A8358D" w14:textId="77777777" w:rsidR="00E94E69" w:rsidRPr="001D3815" w:rsidRDefault="00E94E69" w:rsidP="00E94E69"/>
    <w:p w14:paraId="2A75434B" w14:textId="77777777" w:rsidR="001D3815" w:rsidRPr="001D3815" w:rsidRDefault="001D3815" w:rsidP="00E94E69">
      <w:r w:rsidRPr="001D3815">
        <w:t>The following slides describe seven key features of the VR ROI approach to ROI.  Module 3 illustrates the value of these features by showing selected results for Virginia General.</w:t>
      </w:r>
    </w:p>
    <w:p w14:paraId="67C98171" w14:textId="5F20C03C" w:rsidR="001D3815" w:rsidRPr="005620CC" w:rsidRDefault="001D3815" w:rsidP="005620CC">
      <w:pPr>
        <w:pStyle w:val="ListParagraph"/>
        <w:numPr>
          <w:ilvl w:val="0"/>
          <w:numId w:val="91"/>
        </w:numPr>
      </w:pPr>
      <w:r w:rsidRPr="001D3815">
        <w:t>Some of WIOA’s basic tenets are embedded in the VR ROI model. These are mentioned where appropriate.</w:t>
      </w:r>
    </w:p>
    <w:p w14:paraId="3877CCDA" w14:textId="77777777" w:rsidR="001D3815" w:rsidRPr="001D3815" w:rsidRDefault="001D3815" w:rsidP="006752E9">
      <w:pPr>
        <w:pStyle w:val="Heading2"/>
      </w:pPr>
      <w:r w:rsidRPr="001D3815">
        <w:t xml:space="preserve">VR ROI Feature # 1: </w:t>
      </w:r>
      <w:proofErr w:type="gramStart"/>
      <w:r w:rsidRPr="001D3815">
        <w:t>Readily-Available</w:t>
      </w:r>
      <w:proofErr w:type="gramEnd"/>
      <w:r w:rsidRPr="001D3815">
        <w:t xml:space="preserve"> Administrative Data</w:t>
      </w:r>
    </w:p>
    <w:p w14:paraId="66FAAA40" w14:textId="77777777" w:rsidR="001D3815" w:rsidRPr="001D3815" w:rsidRDefault="001D3815" w:rsidP="002F1B72">
      <w:r w:rsidRPr="001D3815">
        <w:t>Uses data that agencies already collect and have readily available, thus making it easier for State VR agencies to perform. Data sources include:</w:t>
      </w:r>
    </w:p>
    <w:p w14:paraId="39623809" w14:textId="77777777" w:rsidR="001D3815" w:rsidRPr="001D3815" w:rsidRDefault="001D3815" w:rsidP="002F1B72">
      <w:pPr>
        <w:pStyle w:val="ListParagraph"/>
        <w:numPr>
          <w:ilvl w:val="0"/>
          <w:numId w:val="88"/>
        </w:numPr>
      </w:pPr>
      <w:r w:rsidRPr="001D3815">
        <w:t>State VR agencies (participant characteristics, services)</w:t>
      </w:r>
    </w:p>
    <w:p w14:paraId="080C827F" w14:textId="77777777" w:rsidR="001D3815" w:rsidRDefault="001D3815" w:rsidP="002F1B72">
      <w:pPr>
        <w:pStyle w:val="ListParagraph"/>
        <w:numPr>
          <w:ilvl w:val="0"/>
          <w:numId w:val="88"/>
        </w:numPr>
      </w:pPr>
      <w:r w:rsidRPr="001D3815">
        <w:lastRenderedPageBreak/>
        <w:t>State Unemployment Insurance wage system (employment and earnings)</w:t>
      </w:r>
    </w:p>
    <w:p w14:paraId="693B511E" w14:textId="77777777" w:rsidR="002F1B72" w:rsidRPr="001D3815" w:rsidRDefault="002F1B72" w:rsidP="002F1B72"/>
    <w:p w14:paraId="62F6F1B7" w14:textId="77777777" w:rsidR="001D3815" w:rsidRPr="001D3815" w:rsidRDefault="001D3815" w:rsidP="002F1B72">
      <w:r w:rsidRPr="001D3815">
        <w:t>WIOA discussion of cross-agency administrative data</w:t>
      </w:r>
    </w:p>
    <w:p w14:paraId="36A3E06F" w14:textId="77777777" w:rsidR="001D3815" w:rsidRPr="001D3815" w:rsidRDefault="001D3815" w:rsidP="002F1B72">
      <w:pPr>
        <w:pStyle w:val="ListParagraph"/>
        <w:numPr>
          <w:ilvl w:val="0"/>
          <w:numId w:val="89"/>
        </w:numPr>
      </w:pPr>
      <w:r w:rsidRPr="001D3815">
        <w:t xml:space="preserve">Encourages use of common state identifier for individuals in core programs </w:t>
      </w:r>
    </w:p>
    <w:p w14:paraId="47E5CBD4" w14:textId="77777777" w:rsidR="001D3815" w:rsidRPr="001D3815" w:rsidRDefault="001D3815" w:rsidP="002F1B72">
      <w:pPr>
        <w:pStyle w:val="ListParagraph"/>
        <w:numPr>
          <w:ilvl w:val="1"/>
          <w:numId w:val="66"/>
        </w:numPr>
      </w:pPr>
      <w:r w:rsidRPr="001D3815">
        <w:t xml:space="preserve">Would enable states to share data and track services across programs at the individual </w:t>
      </w:r>
      <w:proofErr w:type="gramStart"/>
      <w:r w:rsidRPr="001D3815">
        <w:t>level</w:t>
      </w:r>
      <w:proofErr w:type="gramEnd"/>
    </w:p>
    <w:p w14:paraId="55C9651F" w14:textId="77777777" w:rsidR="001D3815" w:rsidRPr="001D3815" w:rsidRDefault="001D3815" w:rsidP="00CE4182">
      <w:pPr>
        <w:pStyle w:val="ListParagraph"/>
        <w:numPr>
          <w:ilvl w:val="0"/>
          <w:numId w:val="89"/>
        </w:numPr>
      </w:pPr>
      <w:r w:rsidRPr="001D3815">
        <w:t>Emphasis on documenting competitive employment and earnings</w:t>
      </w:r>
    </w:p>
    <w:p w14:paraId="714D0C37" w14:textId="4EA17391" w:rsidR="001D3815" w:rsidRPr="002F1B72" w:rsidRDefault="001D3815" w:rsidP="002F1B72">
      <w:pPr>
        <w:pStyle w:val="ListParagraph"/>
        <w:numPr>
          <w:ilvl w:val="1"/>
          <w:numId w:val="66"/>
        </w:numPr>
      </w:pPr>
      <w:r w:rsidRPr="001D3815">
        <w:t>“</w:t>
      </w:r>
      <w:proofErr w:type="gramStart"/>
      <w:r w:rsidRPr="001D3815">
        <w:t>unemployment</w:t>
      </w:r>
      <w:proofErr w:type="gramEnd"/>
      <w:r w:rsidRPr="001D3815">
        <w:t xml:space="preserve"> insurance wage records, tax records, earnings statements from the employer, and self-reported information”</w:t>
      </w:r>
    </w:p>
    <w:p w14:paraId="33DA8C8C" w14:textId="77777777" w:rsidR="001D3815" w:rsidRPr="001D3815" w:rsidRDefault="001D3815" w:rsidP="006752E9">
      <w:pPr>
        <w:pStyle w:val="Heading2"/>
      </w:pPr>
      <w:r w:rsidRPr="001D3815">
        <w:t>VR ROI Feature # 2: Estimate VR’s Impact from Service Start</w:t>
      </w:r>
    </w:p>
    <w:p w14:paraId="624EA65B" w14:textId="77777777" w:rsidR="001D3815" w:rsidRPr="001D3815" w:rsidRDefault="001D3815" w:rsidP="002F1B72">
      <w:r w:rsidRPr="001D3815">
        <w:t>Estimate VR’s impact from when services begin, not when they end (i.e., applicant cohorts rather than closure cohorts)</w:t>
      </w:r>
    </w:p>
    <w:p w14:paraId="39BD49AD" w14:textId="77777777" w:rsidR="005620CC" w:rsidRDefault="001D3815" w:rsidP="005620CC">
      <w:pPr>
        <w:pStyle w:val="ListParagraph"/>
        <w:numPr>
          <w:ilvl w:val="0"/>
          <w:numId w:val="89"/>
        </w:numPr>
      </w:pPr>
      <w:r w:rsidRPr="001D3815">
        <w:t xml:space="preserve">Applicants in a given fiscal year face similar VR rules (including possible order-of-selection) as well as employment </w:t>
      </w:r>
      <w:proofErr w:type="gramStart"/>
      <w:r w:rsidRPr="001D3815">
        <w:t>climates</w:t>
      </w:r>
      <w:proofErr w:type="gramEnd"/>
    </w:p>
    <w:p w14:paraId="0C335A87" w14:textId="77777777" w:rsidR="005620CC" w:rsidRDefault="001D3815" w:rsidP="005620CC">
      <w:pPr>
        <w:pStyle w:val="ListParagraph"/>
        <w:numPr>
          <w:ilvl w:val="0"/>
          <w:numId w:val="89"/>
        </w:numPr>
      </w:pPr>
      <w:r w:rsidRPr="001D3815">
        <w:t xml:space="preserve">Helps </w:t>
      </w:r>
      <w:proofErr w:type="gramStart"/>
      <w:r w:rsidRPr="001D3815">
        <w:t>control for</w:t>
      </w:r>
      <w:proofErr w:type="gramEnd"/>
      <w:r w:rsidRPr="001D3815">
        <w:t xml:space="preserve"> extraneous factors that can influence a VR customer’s participation and employment.</w:t>
      </w:r>
    </w:p>
    <w:p w14:paraId="7C284B30" w14:textId="35F8286B" w:rsidR="001D3815" w:rsidRDefault="001D3815" w:rsidP="005620CC">
      <w:pPr>
        <w:pStyle w:val="ListParagraph"/>
        <w:numPr>
          <w:ilvl w:val="0"/>
          <w:numId w:val="89"/>
        </w:numPr>
      </w:pPr>
      <w:r w:rsidRPr="001D3815">
        <w:t>Moves focus toward service provision and away from closure status (e.g., exited with or without employment outcome).</w:t>
      </w:r>
    </w:p>
    <w:p w14:paraId="77478A4E" w14:textId="77777777" w:rsidR="002F1B72" w:rsidRPr="001D3815" w:rsidRDefault="002F1B72" w:rsidP="002F1B72">
      <w:pPr>
        <w:ind w:left="360"/>
      </w:pPr>
    </w:p>
    <w:p w14:paraId="30D95CC9" w14:textId="77777777" w:rsidR="001D3815" w:rsidRPr="001D3815" w:rsidRDefault="001D3815" w:rsidP="002F1B72">
      <w:r w:rsidRPr="001D3815">
        <w:t>WIOA and RSA</w:t>
      </w:r>
    </w:p>
    <w:p w14:paraId="1DC96310" w14:textId="77777777" w:rsidR="001D3815" w:rsidRPr="001D3815" w:rsidRDefault="001D3815" w:rsidP="005620CC">
      <w:pPr>
        <w:pStyle w:val="ListParagraph"/>
        <w:numPr>
          <w:ilvl w:val="0"/>
          <w:numId w:val="89"/>
        </w:numPr>
      </w:pPr>
      <w:r w:rsidRPr="001D3815">
        <w:t xml:space="preserve">RSA-911 report focuses on closures during a </w:t>
      </w:r>
      <w:proofErr w:type="gramStart"/>
      <w:r w:rsidRPr="001D3815">
        <w:t>period</w:t>
      </w:r>
      <w:proofErr w:type="gramEnd"/>
    </w:p>
    <w:p w14:paraId="1DF53C3C" w14:textId="2F391A92" w:rsidR="001D3815" w:rsidRPr="00DE452A" w:rsidRDefault="001D3815" w:rsidP="005620CC">
      <w:pPr>
        <w:pStyle w:val="ListParagraph"/>
        <w:numPr>
          <w:ilvl w:val="0"/>
          <w:numId w:val="89"/>
        </w:numPr>
      </w:pPr>
      <w:r w:rsidRPr="001D3815">
        <w:t>However, RSA is planning to review open cases quarterly for WIOA’s Measurable Skills Gains</w:t>
      </w:r>
    </w:p>
    <w:p w14:paraId="64148F07" w14:textId="77777777" w:rsidR="001D3815" w:rsidRPr="001D3815" w:rsidRDefault="001D3815" w:rsidP="006752E9">
      <w:pPr>
        <w:pStyle w:val="Heading2"/>
      </w:pPr>
      <w:r w:rsidRPr="001D3815">
        <w:t>VR ROI Feature # 3: Estimate Longitudinal VR Impacts</w:t>
      </w:r>
    </w:p>
    <w:p w14:paraId="03BFF975" w14:textId="77777777" w:rsidR="001D3815" w:rsidRPr="001D3815" w:rsidRDefault="001D3815" w:rsidP="00DE452A">
      <w:r w:rsidRPr="001D3815">
        <w:t>Use longitudinal data on VR participants over multiple years to provide a fuller picture of VR Impact.  Up to 3 years of pre-VR employment &amp; earnings and at least 5 years of post-application data are utilized.</w:t>
      </w:r>
    </w:p>
    <w:p w14:paraId="76D19EEB" w14:textId="77777777" w:rsidR="001D3815" w:rsidRPr="001D3815" w:rsidRDefault="001D3815" w:rsidP="005620CC">
      <w:pPr>
        <w:pStyle w:val="ListParagraph"/>
        <w:numPr>
          <w:ilvl w:val="0"/>
          <w:numId w:val="89"/>
        </w:numPr>
      </w:pPr>
      <w:r w:rsidRPr="001D3815">
        <w:t xml:space="preserve">Pre-application data provides a baseline before service </w:t>
      </w:r>
      <w:proofErr w:type="gramStart"/>
      <w:r w:rsidRPr="001D3815">
        <w:t>provision</w:t>
      </w:r>
      <w:proofErr w:type="gramEnd"/>
    </w:p>
    <w:p w14:paraId="62CA9E05" w14:textId="77777777" w:rsidR="001D3815" w:rsidRPr="001D3815" w:rsidRDefault="001D3815" w:rsidP="005620CC">
      <w:pPr>
        <w:pStyle w:val="ListParagraph"/>
        <w:numPr>
          <w:ilvl w:val="0"/>
          <w:numId w:val="89"/>
        </w:numPr>
      </w:pPr>
      <w:r w:rsidRPr="001D3815">
        <w:t>Multiple years of post-application data to allow for</w:t>
      </w:r>
    </w:p>
    <w:p w14:paraId="121D2160" w14:textId="77777777" w:rsidR="001D3815" w:rsidRPr="001D3815" w:rsidRDefault="001D3815" w:rsidP="00DE452A">
      <w:pPr>
        <w:pStyle w:val="ListParagraph"/>
        <w:numPr>
          <w:ilvl w:val="1"/>
          <w:numId w:val="66"/>
        </w:numPr>
      </w:pPr>
      <w:r w:rsidRPr="001D3815">
        <w:t xml:space="preserve">An increasing emphasis in VR on serving transitioning </w:t>
      </w:r>
      <w:proofErr w:type="gramStart"/>
      <w:r w:rsidRPr="001D3815">
        <w:t>youth</w:t>
      </w:r>
      <w:proofErr w:type="gramEnd"/>
    </w:p>
    <w:p w14:paraId="02962783" w14:textId="77777777" w:rsidR="001D3815" w:rsidRDefault="001D3815" w:rsidP="00DE452A">
      <w:pPr>
        <w:pStyle w:val="ListParagraph"/>
        <w:numPr>
          <w:ilvl w:val="1"/>
          <w:numId w:val="66"/>
        </w:numPr>
      </w:pPr>
      <w:r w:rsidRPr="001D3815">
        <w:lastRenderedPageBreak/>
        <w:t>Estimating the longer-term impact of training and education as well as the quicker impact of placement-oriented services</w:t>
      </w:r>
    </w:p>
    <w:p w14:paraId="34FA6280" w14:textId="77777777" w:rsidR="00DE452A" w:rsidRPr="001D3815" w:rsidRDefault="00DE452A" w:rsidP="00DE452A">
      <w:pPr>
        <w:pStyle w:val="ListParagraph"/>
        <w:ind w:left="1080"/>
      </w:pPr>
    </w:p>
    <w:p w14:paraId="55767294" w14:textId="77777777" w:rsidR="001D3815" w:rsidRPr="001D3815" w:rsidRDefault="001D3815" w:rsidP="00DE452A">
      <w:r w:rsidRPr="001D3815">
        <w:t xml:space="preserve">WIOA has revised the metric for assessing a successful VR </w:t>
      </w:r>
      <w:proofErr w:type="gramStart"/>
      <w:r w:rsidRPr="001D3815">
        <w:t>outcome</w:t>
      </w:r>
      <w:proofErr w:type="gramEnd"/>
      <w:r w:rsidRPr="001D3815">
        <w:t xml:space="preserve"> </w:t>
      </w:r>
    </w:p>
    <w:p w14:paraId="3C167521" w14:textId="77777777" w:rsidR="001D3815" w:rsidRPr="001D3815" w:rsidRDefault="001D3815" w:rsidP="005620CC">
      <w:pPr>
        <w:pStyle w:val="ListParagraph"/>
        <w:numPr>
          <w:ilvl w:val="0"/>
          <w:numId w:val="89"/>
        </w:numPr>
      </w:pPr>
      <w:r w:rsidRPr="001D3815">
        <w:t>Competitive Integrated Employment</w:t>
      </w:r>
    </w:p>
    <w:p w14:paraId="449849E8" w14:textId="77777777" w:rsidR="001D3815" w:rsidRPr="001D3815" w:rsidRDefault="001D3815" w:rsidP="005620CC">
      <w:pPr>
        <w:pStyle w:val="ListParagraph"/>
        <w:numPr>
          <w:ilvl w:val="0"/>
          <w:numId w:val="89"/>
        </w:numPr>
      </w:pPr>
      <w:r w:rsidRPr="001D3815">
        <w:t xml:space="preserve">2nd and 4th quarters following </w:t>
      </w:r>
      <w:proofErr w:type="gramStart"/>
      <w:r w:rsidRPr="001D3815">
        <w:t>closure</w:t>
      </w:r>
      <w:proofErr w:type="gramEnd"/>
    </w:p>
    <w:p w14:paraId="4B934197" w14:textId="725C21C1" w:rsidR="001D3815" w:rsidRPr="005620CC" w:rsidRDefault="001D3815" w:rsidP="005620CC">
      <w:pPr>
        <w:pStyle w:val="ListParagraph"/>
        <w:numPr>
          <w:ilvl w:val="1"/>
          <w:numId w:val="66"/>
        </w:numPr>
      </w:pPr>
      <w:r w:rsidRPr="001D3815">
        <w:t xml:space="preserve">This is a change from employment and earnings at the time of </w:t>
      </w:r>
      <w:proofErr w:type="gramStart"/>
      <w:r w:rsidRPr="001D3815">
        <w:t>closure</w:t>
      </w:r>
      <w:proofErr w:type="gramEnd"/>
    </w:p>
    <w:p w14:paraId="6B4823D5" w14:textId="77777777" w:rsidR="001D3815" w:rsidRPr="001D3815" w:rsidRDefault="001D3815" w:rsidP="006752E9">
      <w:pPr>
        <w:pStyle w:val="Heading2"/>
      </w:pPr>
      <w:r w:rsidRPr="001D3815">
        <w:t>VR ROI Feature # 4: Examine Different Disabling Conditions</w:t>
      </w:r>
    </w:p>
    <w:p w14:paraId="49938463" w14:textId="77777777" w:rsidR="001D3815" w:rsidRPr="001D3815" w:rsidRDefault="001D3815" w:rsidP="00521722">
      <w:r w:rsidRPr="001D3815">
        <w:t>Typical ROI studies talk about a generic VR participant, but this study separately examines the impact of VR for individuals with different kinds of disabling conditions. We use this methodology because results vary based on disability.</w:t>
      </w:r>
    </w:p>
    <w:p w14:paraId="3B4A93EB" w14:textId="77777777" w:rsidR="001D3815" w:rsidRPr="001D3815" w:rsidRDefault="001D3815" w:rsidP="005620CC">
      <w:pPr>
        <w:pStyle w:val="ListParagraph"/>
        <w:numPr>
          <w:ilvl w:val="0"/>
          <w:numId w:val="89"/>
        </w:numPr>
      </w:pPr>
      <w:r w:rsidRPr="001D3815">
        <w:t xml:space="preserve">Examples: mental illness, intellectual disabilities, learning disabilities, physical impairments, </w:t>
      </w:r>
      <w:proofErr w:type="gramStart"/>
      <w:r w:rsidRPr="001D3815">
        <w:t>blindness</w:t>
      </w:r>
      <w:proofErr w:type="gramEnd"/>
      <w:r w:rsidRPr="001D3815">
        <w:t xml:space="preserve"> and vision impairments</w:t>
      </w:r>
    </w:p>
    <w:p w14:paraId="371982ED" w14:textId="77777777" w:rsidR="001D3815" w:rsidRDefault="001D3815" w:rsidP="005620CC">
      <w:pPr>
        <w:pStyle w:val="ListParagraph"/>
        <w:numPr>
          <w:ilvl w:val="0"/>
          <w:numId w:val="89"/>
        </w:numPr>
      </w:pPr>
      <w:r w:rsidRPr="001D3815">
        <w:t xml:space="preserve">Sample size </w:t>
      </w:r>
      <w:proofErr w:type="gramStart"/>
      <w:r w:rsidRPr="001D3815">
        <w:t>permitting:</w:t>
      </w:r>
      <w:proofErr w:type="gramEnd"/>
      <w:r w:rsidRPr="001D3815">
        <w:t xml:space="preserve"> autism spectrum disorder, traumatic brain injury</w:t>
      </w:r>
    </w:p>
    <w:p w14:paraId="3E9BFAEB" w14:textId="77777777" w:rsidR="00521722" w:rsidRPr="001D3815" w:rsidRDefault="00521722" w:rsidP="00521722"/>
    <w:p w14:paraId="68C08ECB" w14:textId="77777777" w:rsidR="001D3815" w:rsidRPr="001D3815" w:rsidRDefault="001D3815" w:rsidP="00521722">
      <w:r w:rsidRPr="001D3815">
        <w:t>WIOA and RSA</w:t>
      </w:r>
    </w:p>
    <w:p w14:paraId="3E32F3A3" w14:textId="77777777" w:rsidR="001D3815" w:rsidRPr="001D3815" w:rsidRDefault="001D3815" w:rsidP="005620CC">
      <w:pPr>
        <w:pStyle w:val="ListParagraph"/>
        <w:numPr>
          <w:ilvl w:val="0"/>
          <w:numId w:val="89"/>
        </w:numPr>
      </w:pPr>
      <w:r w:rsidRPr="001D3815">
        <w:t xml:space="preserve">RSA-911 has long collected information about disabling </w:t>
      </w:r>
      <w:proofErr w:type="gramStart"/>
      <w:r w:rsidRPr="001D3815">
        <w:t>conditions</w:t>
      </w:r>
      <w:proofErr w:type="gramEnd"/>
    </w:p>
    <w:p w14:paraId="41157A8D" w14:textId="790AAD97" w:rsidR="001D3815" w:rsidRPr="00521722" w:rsidRDefault="001D3815" w:rsidP="005620CC">
      <w:pPr>
        <w:pStyle w:val="ListParagraph"/>
        <w:numPr>
          <w:ilvl w:val="0"/>
          <w:numId w:val="89"/>
        </w:numPr>
      </w:pPr>
      <w:r w:rsidRPr="001D3815">
        <w:t>Increasing emphasis on students and youths with disability</w:t>
      </w:r>
    </w:p>
    <w:p w14:paraId="700B469E" w14:textId="77777777" w:rsidR="001D3815" w:rsidRPr="001D3815" w:rsidRDefault="001D3815" w:rsidP="006752E9">
      <w:pPr>
        <w:pStyle w:val="Heading2"/>
      </w:pPr>
      <w:r w:rsidRPr="001D3815">
        <w:t>VR ROI Feature # 5 (1 of 2): Examine Impact of Specific Service Types</w:t>
      </w:r>
    </w:p>
    <w:p w14:paraId="7BA0FB9A" w14:textId="77777777" w:rsidR="001D3815" w:rsidRPr="001D3815" w:rsidRDefault="001D3815" w:rsidP="00A64DD9">
      <w:r w:rsidRPr="001D3815">
        <w:t>Rather than a generic VR service, estimate the impacts of specific types of VR services. Examples include:</w:t>
      </w:r>
    </w:p>
    <w:p w14:paraId="69E14BD6" w14:textId="77777777" w:rsidR="001D3815" w:rsidRPr="001D3815" w:rsidRDefault="001D3815" w:rsidP="005620CC">
      <w:pPr>
        <w:pStyle w:val="ListParagraph"/>
        <w:numPr>
          <w:ilvl w:val="0"/>
          <w:numId w:val="89"/>
        </w:numPr>
      </w:pPr>
      <w:r w:rsidRPr="001D3815">
        <w:t>Diagnostic, Training, Education, Restoration, Maintenance, Placement, Job Support</w:t>
      </w:r>
    </w:p>
    <w:p w14:paraId="03274B8E" w14:textId="77777777" w:rsidR="001D3815" w:rsidRDefault="001D3815" w:rsidP="005620CC">
      <w:pPr>
        <w:pStyle w:val="ListParagraph"/>
        <w:numPr>
          <w:ilvl w:val="0"/>
          <w:numId w:val="89"/>
        </w:numPr>
      </w:pPr>
      <w:r w:rsidRPr="001D3815">
        <w:t xml:space="preserve">For blindness services, Assistive Technology and Orientation &amp; Mobility were </w:t>
      </w:r>
      <w:proofErr w:type="gramStart"/>
      <w:r w:rsidRPr="001D3815">
        <w:t>included</w:t>
      </w:r>
      <w:proofErr w:type="gramEnd"/>
    </w:p>
    <w:p w14:paraId="1A593016" w14:textId="77777777" w:rsidR="00A64DD9" w:rsidRPr="001D3815" w:rsidRDefault="00A64DD9" w:rsidP="00A64DD9"/>
    <w:p w14:paraId="158A2EE6" w14:textId="77777777" w:rsidR="001D3815" w:rsidRPr="001D3815" w:rsidRDefault="001D3815" w:rsidP="00A64DD9">
      <w:r w:rsidRPr="001D3815">
        <w:t xml:space="preserve">WIOA and RSA both acknowledge the richness of services provided by </w:t>
      </w:r>
      <w:proofErr w:type="gramStart"/>
      <w:r w:rsidRPr="001D3815">
        <w:t>VR</w:t>
      </w:r>
      <w:proofErr w:type="gramEnd"/>
    </w:p>
    <w:p w14:paraId="7135FCC1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 xml:space="preserve">WIOA: “ensure that all individuals with disabilities served through the VR program are provided every opportunity to achieve” competitive integrated </w:t>
      </w:r>
      <w:proofErr w:type="gramStart"/>
      <w:r w:rsidRPr="001D3815">
        <w:t>employment</w:t>
      </w:r>
      <w:proofErr w:type="gramEnd"/>
    </w:p>
    <w:p w14:paraId="7274A812" w14:textId="7BA50F49" w:rsidR="001D3815" w:rsidRPr="00A64DD9" w:rsidRDefault="001D3815" w:rsidP="00DC22A1">
      <w:pPr>
        <w:pStyle w:val="ListParagraph"/>
        <w:numPr>
          <w:ilvl w:val="0"/>
          <w:numId w:val="89"/>
        </w:numPr>
      </w:pPr>
      <w:r w:rsidRPr="001D3815">
        <w:lastRenderedPageBreak/>
        <w:t xml:space="preserve">RSA:  As of FFY 2014, RSA-911 closure file collects substantially more detail on more service categories (28 vs. 22) </w:t>
      </w:r>
    </w:p>
    <w:p w14:paraId="0060A817" w14:textId="77777777" w:rsidR="001D3815" w:rsidRPr="001D3815" w:rsidRDefault="001D3815" w:rsidP="006752E9">
      <w:pPr>
        <w:pStyle w:val="Heading2"/>
      </w:pPr>
      <w:r w:rsidRPr="001D3815">
        <w:t>VR ROI Feature # 5 (2 of 2): Examine Impact of Specific Service Types</w:t>
      </w:r>
    </w:p>
    <w:p w14:paraId="171D1D0D" w14:textId="77777777" w:rsidR="001D3815" w:rsidRPr="001D3815" w:rsidRDefault="001D3815" w:rsidP="00A64DD9">
      <w:r w:rsidRPr="001D3815">
        <w:t xml:space="preserve">Service Categories &amp; Mapping:  </w:t>
      </w:r>
    </w:p>
    <w:p w14:paraId="52F03305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 xml:space="preserve">Diagnosis &amp; evaluation: services for assessing eligibility and developing IPE, medical </w:t>
      </w:r>
      <w:proofErr w:type="gramStart"/>
      <w:r w:rsidRPr="001D3815">
        <w:t>diagnostics</w:t>
      </w:r>
      <w:proofErr w:type="gramEnd"/>
      <w:r w:rsidRPr="001D3815">
        <w:t xml:space="preserve"> </w:t>
      </w:r>
    </w:p>
    <w:p w14:paraId="63E230F8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>Training: OJT, GED, vocational, etc.</w:t>
      </w:r>
    </w:p>
    <w:p w14:paraId="777D8A8F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>Education: post-secondary education</w:t>
      </w:r>
    </w:p>
    <w:p w14:paraId="26398271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>Restorative: medical/healthcare services (see also AO below)</w:t>
      </w:r>
    </w:p>
    <w:p w14:paraId="074DF183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>Maintenance: transportation, clothing, vehicle/home modifications, etc.</w:t>
      </w:r>
    </w:p>
    <w:p w14:paraId="5436D481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>Placement: search, placement, job readiness training, etc.</w:t>
      </w:r>
    </w:p>
    <w:p w14:paraId="56832F41" w14:textId="77777777" w:rsidR="001D3815" w:rsidRDefault="001D3815" w:rsidP="00DC22A1">
      <w:pPr>
        <w:pStyle w:val="ListParagraph"/>
        <w:numPr>
          <w:ilvl w:val="0"/>
          <w:numId w:val="89"/>
        </w:numPr>
      </w:pPr>
      <w:r w:rsidRPr="001D3815">
        <w:t xml:space="preserve">Job Supports: on-job supports, supported </w:t>
      </w:r>
      <w:proofErr w:type="gramStart"/>
      <w:r w:rsidRPr="001D3815">
        <w:t>employment</w:t>
      </w:r>
      <w:proofErr w:type="gramEnd"/>
    </w:p>
    <w:p w14:paraId="3D9112DF" w14:textId="77777777" w:rsidR="00A64DD9" w:rsidRPr="001D3815" w:rsidRDefault="00A64DD9" w:rsidP="00A64DD9"/>
    <w:p w14:paraId="01B8BB04" w14:textId="77777777" w:rsidR="001D3815" w:rsidRPr="001D3815" w:rsidRDefault="001D3815" w:rsidP="00A64DD9">
      <w:r w:rsidRPr="001D3815">
        <w:t xml:space="preserve">Entered separately for blindness services; included within Restorative for all other </w:t>
      </w:r>
      <w:proofErr w:type="gramStart"/>
      <w:r w:rsidRPr="001D3815">
        <w:t>disabilities</w:t>
      </w:r>
      <w:proofErr w:type="gramEnd"/>
    </w:p>
    <w:p w14:paraId="26EB393C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>Assistive Technology: AT, rehabilitation engineering</w:t>
      </w:r>
    </w:p>
    <w:p w14:paraId="6A7083AE" w14:textId="723914F5" w:rsidR="001D3815" w:rsidRPr="00A64DD9" w:rsidRDefault="001D3815" w:rsidP="00DC22A1">
      <w:pPr>
        <w:pStyle w:val="ListParagraph"/>
        <w:numPr>
          <w:ilvl w:val="0"/>
          <w:numId w:val="89"/>
        </w:numPr>
      </w:pPr>
      <w:r w:rsidRPr="001D3815">
        <w:t>Orientation &amp; Mobility: adjustment to disability</w:t>
      </w:r>
    </w:p>
    <w:p w14:paraId="7978883E" w14:textId="77777777" w:rsidR="001D3815" w:rsidRPr="001D3815" w:rsidRDefault="001D3815" w:rsidP="006752E9">
      <w:pPr>
        <w:pStyle w:val="Heading2"/>
      </w:pPr>
      <w:r w:rsidRPr="001D3815">
        <w:t>VR ROI Feature # 6: Rigorous Statistical Model</w:t>
      </w:r>
    </w:p>
    <w:p w14:paraId="200FB128" w14:textId="77777777" w:rsidR="001D3815" w:rsidRDefault="001D3815" w:rsidP="001D60E4">
      <w:r w:rsidRPr="001D3815">
        <w:t xml:space="preserve">Ideally, we would observe the same person with and without VR services over the same </w:t>
      </w:r>
      <w:proofErr w:type="gramStart"/>
      <w:r w:rsidRPr="001D3815">
        <w:t>time period</w:t>
      </w:r>
      <w:proofErr w:type="gramEnd"/>
      <w:r w:rsidRPr="001D3815">
        <w:t>, but this is not possible.</w:t>
      </w:r>
    </w:p>
    <w:p w14:paraId="69C1F619" w14:textId="77777777" w:rsidR="001D60E4" w:rsidRPr="001D3815" w:rsidRDefault="001D60E4" w:rsidP="001D60E4"/>
    <w:p w14:paraId="150BFE1C" w14:textId="77777777" w:rsidR="001D3815" w:rsidRPr="001D3815" w:rsidRDefault="001D3815" w:rsidP="001D60E4">
      <w:r w:rsidRPr="001D3815">
        <w:t>To get closer to that ideal, estimate service impacts on employment and earnings:</w:t>
      </w:r>
    </w:p>
    <w:p w14:paraId="082042F4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>Control for observed explanatory variables (e.g., gender, education, race, disability, local labor market conditions)</w:t>
      </w:r>
    </w:p>
    <w:p w14:paraId="58B548C1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 xml:space="preserve">Employ state-of-the-science statistical controls to ensure that the outcomes are the result of VR rather than other </w:t>
      </w:r>
      <w:proofErr w:type="gramStart"/>
      <w:r w:rsidRPr="001D3815">
        <w:t>factors</w:t>
      </w:r>
      <w:proofErr w:type="gramEnd"/>
    </w:p>
    <w:p w14:paraId="646F34E7" w14:textId="2A2C3B7C" w:rsidR="001D3815" w:rsidRPr="001D60E4" w:rsidRDefault="001D3815" w:rsidP="001D60E4">
      <w:pPr>
        <w:pStyle w:val="ListParagraph"/>
        <w:numPr>
          <w:ilvl w:val="1"/>
          <w:numId w:val="66"/>
        </w:numPr>
      </w:pPr>
      <w:r w:rsidRPr="001D3815">
        <w:t>A technical discussion of the statistical issues (including “selection bias”), methodology, and results is provided in Dean, et al. (2015 and 2018) – see Reference slides at end.</w:t>
      </w:r>
    </w:p>
    <w:p w14:paraId="194D5EFB" w14:textId="77777777" w:rsidR="001D3815" w:rsidRPr="001D3815" w:rsidRDefault="001D3815" w:rsidP="006752E9">
      <w:pPr>
        <w:pStyle w:val="Heading2"/>
      </w:pPr>
      <w:r w:rsidRPr="001D3815">
        <w:lastRenderedPageBreak/>
        <w:t xml:space="preserve">VR ROI Feature # 7: Estimates Made at Individual Level </w:t>
      </w:r>
    </w:p>
    <w:p w14:paraId="48418D96" w14:textId="77777777" w:rsidR="001D3815" w:rsidRPr="001D3815" w:rsidRDefault="001D3815" w:rsidP="003E0C07">
      <w:r w:rsidRPr="001D3815">
        <w:t xml:space="preserve">The model estimates employment &amp; earnings impacts as well as service costs at the individual </w:t>
      </w:r>
      <w:proofErr w:type="gramStart"/>
      <w:r w:rsidRPr="001D3815">
        <w:t>level</w:t>
      </w:r>
      <w:proofErr w:type="gramEnd"/>
    </w:p>
    <w:p w14:paraId="15E19B7F" w14:textId="77777777" w:rsidR="001D3815" w:rsidRDefault="001D3815" w:rsidP="00DC22A1">
      <w:pPr>
        <w:pStyle w:val="ListParagraph"/>
        <w:numPr>
          <w:ilvl w:val="0"/>
          <w:numId w:val="89"/>
        </w:numPr>
      </w:pPr>
      <w:r w:rsidRPr="001D3815">
        <w:t xml:space="preserve">Provides the flexibility to obtain ROI estimates for different client groups by “aggregating” them for a disability or even the entire </w:t>
      </w:r>
      <w:proofErr w:type="gramStart"/>
      <w:r w:rsidRPr="001D3815">
        <w:t>agency</w:t>
      </w:r>
      <w:proofErr w:type="gramEnd"/>
    </w:p>
    <w:p w14:paraId="5A05E839" w14:textId="77777777" w:rsidR="003E0C07" w:rsidRPr="001D3815" w:rsidRDefault="003E0C07" w:rsidP="003E0C07">
      <w:pPr>
        <w:pStyle w:val="ListParagraph"/>
      </w:pPr>
    </w:p>
    <w:p w14:paraId="0EAB72F3" w14:textId="0DE737C8" w:rsidR="001D3815" w:rsidRPr="001D3815" w:rsidRDefault="001D3815" w:rsidP="003E0C07">
      <w:r w:rsidRPr="001D3815">
        <w:t xml:space="preserve">Approach aligns with WIOA’s intent to examine impact of VR services on earnings and </w:t>
      </w:r>
      <w:proofErr w:type="gramStart"/>
      <w:r w:rsidRPr="001D3815">
        <w:t>outcomes</w:t>
      </w:r>
      <w:proofErr w:type="gramEnd"/>
    </w:p>
    <w:p w14:paraId="62659C95" w14:textId="77777777" w:rsidR="001D3815" w:rsidRPr="001D3815" w:rsidRDefault="001D3815" w:rsidP="006752E9">
      <w:pPr>
        <w:pStyle w:val="Heading2"/>
      </w:pPr>
      <w:r w:rsidRPr="001D3815">
        <w:t>Conclusion of Lesson 2</w:t>
      </w:r>
    </w:p>
    <w:p w14:paraId="6F34E4D4" w14:textId="77777777" w:rsidR="001D3815" w:rsidRDefault="001D3815" w:rsidP="003E0C07">
      <w:r w:rsidRPr="001D3815">
        <w:t>You have now completed Lesson 2 and should have a general understanding of the VR ROI Project and some ethical implications associated with the application of this knowledge.</w:t>
      </w:r>
    </w:p>
    <w:p w14:paraId="2E219BEC" w14:textId="77777777" w:rsidR="003E0C07" w:rsidRPr="001D3815" w:rsidRDefault="003E0C07" w:rsidP="003E0C07"/>
    <w:p w14:paraId="1929C2D1" w14:textId="27A65FBE" w:rsidR="001D3815" w:rsidRPr="001D3815" w:rsidRDefault="001D3815" w:rsidP="003E0C07">
      <w:r w:rsidRPr="001D3815">
        <w:t>Please be sure to continue learning about VR ROI through practical application and examples highlighted in Lesson 3.</w:t>
      </w:r>
    </w:p>
    <w:p w14:paraId="72238AB7" w14:textId="77777777" w:rsidR="001D3815" w:rsidRPr="001D3815" w:rsidRDefault="001D3815" w:rsidP="006752E9">
      <w:pPr>
        <w:pStyle w:val="Heading2"/>
      </w:pPr>
      <w:r w:rsidRPr="001D3815">
        <w:t>References (1 of 2)</w:t>
      </w:r>
    </w:p>
    <w:p w14:paraId="588D708F" w14:textId="77777777" w:rsidR="001D3815" w:rsidRPr="001D3815" w:rsidRDefault="001D3815" w:rsidP="003E0C07">
      <w:r w:rsidRPr="001D3815">
        <w:t>Additional information about PERT and its evaluation.</w:t>
      </w:r>
    </w:p>
    <w:p w14:paraId="4524154F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>Ashley, J., Dean, D., Rowe, K., &amp; Schmidt, R. (2006). “The Long-Term Impact of Comprehensive Vocational Assessment for Youth with Disabilities in Transition: Evaluation of Virginia’s Post-Secondary Education/ Rehabilitation Transition (PERT) Program.” Vocational Evaluation and Career Assessments Professionals Journal, 2(2), 14-32.</w:t>
      </w:r>
    </w:p>
    <w:p w14:paraId="37173566" w14:textId="27101E9F" w:rsidR="001D3815" w:rsidRPr="003E0C07" w:rsidRDefault="001D3815" w:rsidP="00DC22A1">
      <w:pPr>
        <w:pStyle w:val="ListParagraph"/>
        <w:numPr>
          <w:ilvl w:val="0"/>
          <w:numId w:val="89"/>
        </w:numPr>
      </w:pPr>
      <w:r w:rsidRPr="001D3815">
        <w:t>Ashley, J. &amp; Schmidt, R. (2016). “Investing in Career Opportunities for Youths with Disabilities.” Presentation to the Torch Club of Richmond, VA.  PowerPoint found at</w:t>
      </w:r>
      <w:r w:rsidRPr="00DC22A1">
        <w:t xml:space="preserve"> </w:t>
      </w:r>
      <w:hyperlink r:id="rId10" w:history="1">
        <w:r w:rsidRPr="00DC22A1">
          <w:rPr>
            <w:b/>
            <w:bCs/>
            <w:color w:val="254264" w:themeColor="accent6"/>
            <w:u w:val="single"/>
          </w:rPr>
          <w:t>vroi.org/resources</w:t>
        </w:r>
      </w:hyperlink>
    </w:p>
    <w:p w14:paraId="10685270" w14:textId="77777777" w:rsidR="001D3815" w:rsidRPr="001D3815" w:rsidRDefault="001D3815" w:rsidP="006752E9">
      <w:pPr>
        <w:pStyle w:val="Heading2"/>
      </w:pPr>
      <w:r w:rsidRPr="001D3815">
        <w:t>References (2 of 2)</w:t>
      </w:r>
    </w:p>
    <w:p w14:paraId="0D2F5800" w14:textId="77777777" w:rsidR="001D3815" w:rsidRPr="001D3815" w:rsidRDefault="001D3815" w:rsidP="003E0C07">
      <w:r w:rsidRPr="001D3815">
        <w:t>Publications in academic journals discussing statistical issues, methodology, and results of the VR ROI model.</w:t>
      </w:r>
    </w:p>
    <w:p w14:paraId="6C4FAC26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lastRenderedPageBreak/>
        <w:t xml:space="preserve">Dean, D., Pepper, J., Schmidt, R., Stern, S. (2015). “The Effects of Vocational Rehabilitation for People with Cognitive Impairments.” International Economic Review, 56 (No. 2, May 2015), 399-426. </w:t>
      </w:r>
    </w:p>
    <w:p w14:paraId="478C17D4" w14:textId="77777777" w:rsidR="001D3815" w:rsidRPr="001D3815" w:rsidRDefault="001D3815" w:rsidP="00DC22A1">
      <w:pPr>
        <w:pStyle w:val="ListParagraph"/>
        <w:numPr>
          <w:ilvl w:val="0"/>
          <w:numId w:val="89"/>
        </w:numPr>
      </w:pPr>
      <w:r w:rsidRPr="001D3815">
        <w:t>Dean, D., Pepper, J., Schmidt, R., Stern, S. (2017). “The Effects of Vocational Rehabilitation for People with Mental Illness.” Journal of Human Resources, 52 (No. 3, Summer 2017), 826-858.</w:t>
      </w:r>
    </w:p>
    <w:p w14:paraId="416F53C8" w14:textId="7B991DAD" w:rsidR="002D7A78" w:rsidRPr="002D7A78" w:rsidRDefault="001D3815" w:rsidP="00DC22A1">
      <w:pPr>
        <w:pStyle w:val="ListParagraph"/>
        <w:numPr>
          <w:ilvl w:val="0"/>
          <w:numId w:val="89"/>
        </w:numPr>
      </w:pPr>
      <w:r w:rsidRPr="001D3815">
        <w:t>Dean, D., Pepper, J., Schmidt, R., Stern, S. (2018). “The Effects of Vocational Rehabilitation for People with Physical Disabilities.” Journal of Human Capital, 12 (No. 1, Summer 2018), 1-37.</w:t>
      </w:r>
    </w:p>
    <w:sectPr w:rsidR="002D7A78" w:rsidRPr="002D7A78" w:rsidSect="009D1F96">
      <w:type w:val="continuous"/>
      <w:pgSz w:w="12240" w:h="15840"/>
      <w:pgMar w:top="720" w:right="1008" w:bottom="81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E60951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6F3EF9"/>
    <w:multiLevelType w:val="hybridMultilevel"/>
    <w:tmpl w:val="46464D7A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A14C3"/>
    <w:multiLevelType w:val="hybridMultilevel"/>
    <w:tmpl w:val="78B433E8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351FA"/>
    <w:multiLevelType w:val="hybridMultilevel"/>
    <w:tmpl w:val="7DB64E4E"/>
    <w:lvl w:ilvl="0" w:tplc="6DF2420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868F3"/>
    <w:multiLevelType w:val="hybridMultilevel"/>
    <w:tmpl w:val="EACA002E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F6366"/>
    <w:multiLevelType w:val="hybridMultilevel"/>
    <w:tmpl w:val="36F26D48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2740F"/>
    <w:multiLevelType w:val="hybridMultilevel"/>
    <w:tmpl w:val="56F8E53E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C701D"/>
    <w:multiLevelType w:val="hybridMultilevel"/>
    <w:tmpl w:val="C6D0AD7C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91F7A"/>
    <w:multiLevelType w:val="hybridMultilevel"/>
    <w:tmpl w:val="901AC10A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0079F"/>
    <w:multiLevelType w:val="hybridMultilevel"/>
    <w:tmpl w:val="FA1818FA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B78F1"/>
    <w:multiLevelType w:val="hybridMultilevel"/>
    <w:tmpl w:val="A48610F6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73477"/>
    <w:multiLevelType w:val="hybridMultilevel"/>
    <w:tmpl w:val="BA68A12C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F15D1"/>
    <w:multiLevelType w:val="hybridMultilevel"/>
    <w:tmpl w:val="EFA2BBE2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551A0"/>
    <w:multiLevelType w:val="hybridMultilevel"/>
    <w:tmpl w:val="723CC26C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B35840"/>
    <w:multiLevelType w:val="hybridMultilevel"/>
    <w:tmpl w:val="B16289C2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44114"/>
    <w:multiLevelType w:val="hybridMultilevel"/>
    <w:tmpl w:val="B2A02368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E304E"/>
    <w:multiLevelType w:val="hybridMultilevel"/>
    <w:tmpl w:val="AA2CD60E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2C6E35"/>
    <w:multiLevelType w:val="hybridMultilevel"/>
    <w:tmpl w:val="521A3782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0269C9"/>
    <w:multiLevelType w:val="hybridMultilevel"/>
    <w:tmpl w:val="0EBE022E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94B03"/>
    <w:multiLevelType w:val="hybridMultilevel"/>
    <w:tmpl w:val="EDA8E0B8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C84AD1"/>
    <w:multiLevelType w:val="hybridMultilevel"/>
    <w:tmpl w:val="EA70637C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9E69D0"/>
    <w:multiLevelType w:val="hybridMultilevel"/>
    <w:tmpl w:val="17186E5A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4D0CF1"/>
    <w:multiLevelType w:val="hybridMultilevel"/>
    <w:tmpl w:val="5DF26CCC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82509"/>
    <w:multiLevelType w:val="hybridMultilevel"/>
    <w:tmpl w:val="FB48B608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A850C3"/>
    <w:multiLevelType w:val="hybridMultilevel"/>
    <w:tmpl w:val="E3AE1918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417B9F"/>
    <w:multiLevelType w:val="hybridMultilevel"/>
    <w:tmpl w:val="0204C520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7831DD"/>
    <w:multiLevelType w:val="hybridMultilevel"/>
    <w:tmpl w:val="54025C10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510FC3"/>
    <w:multiLevelType w:val="hybridMultilevel"/>
    <w:tmpl w:val="03F4F48A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7D2672"/>
    <w:multiLevelType w:val="hybridMultilevel"/>
    <w:tmpl w:val="5B5C6562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A33E92"/>
    <w:multiLevelType w:val="hybridMultilevel"/>
    <w:tmpl w:val="5948B7DC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1A2910"/>
    <w:multiLevelType w:val="hybridMultilevel"/>
    <w:tmpl w:val="3AC04284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5B4F09"/>
    <w:multiLevelType w:val="hybridMultilevel"/>
    <w:tmpl w:val="5C50F838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A44353"/>
    <w:multiLevelType w:val="hybridMultilevel"/>
    <w:tmpl w:val="1ABCEBAC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2D5DB4"/>
    <w:multiLevelType w:val="hybridMultilevel"/>
    <w:tmpl w:val="267A6414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E8259B"/>
    <w:multiLevelType w:val="hybridMultilevel"/>
    <w:tmpl w:val="C67AEAEA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1A586A"/>
    <w:multiLevelType w:val="hybridMultilevel"/>
    <w:tmpl w:val="EFE006E2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7F4EA5"/>
    <w:multiLevelType w:val="hybridMultilevel"/>
    <w:tmpl w:val="B456EA5E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711AB8"/>
    <w:multiLevelType w:val="hybridMultilevel"/>
    <w:tmpl w:val="7B4CAAA0"/>
    <w:lvl w:ilvl="0" w:tplc="2E3AD110">
      <w:start w:val="2"/>
      <w:numFmt w:val="decimal"/>
      <w:pStyle w:val="Heading2"/>
      <w:lvlText w:val="Slide %1."/>
      <w:lvlJc w:val="left"/>
      <w:pPr>
        <w:ind w:left="360" w:hanging="360"/>
      </w:pPr>
      <w:rPr>
        <w:rFonts w:ascii="Calibri" w:hAnsi="Calibri" w:hint="default"/>
        <w:b/>
        <w:i w:val="0"/>
        <w:color w:val="36614D" w:themeColor="accent3" w:themeShade="BF"/>
        <w:sz w:val="36"/>
        <w:u w:color="C0AF8C" w:themeColor="text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34860A8"/>
    <w:multiLevelType w:val="hybridMultilevel"/>
    <w:tmpl w:val="AA8A0B4E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4C55D2"/>
    <w:multiLevelType w:val="hybridMultilevel"/>
    <w:tmpl w:val="1D884F1C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0333B4"/>
    <w:multiLevelType w:val="hybridMultilevel"/>
    <w:tmpl w:val="5D200D54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835A98"/>
    <w:multiLevelType w:val="hybridMultilevel"/>
    <w:tmpl w:val="A518060C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3401D9"/>
    <w:multiLevelType w:val="hybridMultilevel"/>
    <w:tmpl w:val="28406582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4B6110"/>
    <w:multiLevelType w:val="hybridMultilevel"/>
    <w:tmpl w:val="53100526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52771A"/>
    <w:multiLevelType w:val="hybridMultilevel"/>
    <w:tmpl w:val="E8708E10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7118FE"/>
    <w:multiLevelType w:val="hybridMultilevel"/>
    <w:tmpl w:val="0F6C1184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2D7EE4"/>
    <w:multiLevelType w:val="hybridMultilevel"/>
    <w:tmpl w:val="BAE46FEA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C85AE3"/>
    <w:multiLevelType w:val="hybridMultilevel"/>
    <w:tmpl w:val="E7C88D08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820CB8"/>
    <w:multiLevelType w:val="hybridMultilevel"/>
    <w:tmpl w:val="3B1C116A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C621C3"/>
    <w:multiLevelType w:val="hybridMultilevel"/>
    <w:tmpl w:val="D90AEEBC"/>
    <w:lvl w:ilvl="0" w:tplc="83643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4264" w:themeColor="accent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9FA3BBC"/>
    <w:multiLevelType w:val="hybridMultilevel"/>
    <w:tmpl w:val="DBE0AA42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3C1F00"/>
    <w:multiLevelType w:val="hybridMultilevel"/>
    <w:tmpl w:val="FF284822"/>
    <w:lvl w:ilvl="0" w:tplc="83643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D53A3A"/>
    <w:multiLevelType w:val="hybridMultilevel"/>
    <w:tmpl w:val="27D68C80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A01BE4"/>
    <w:multiLevelType w:val="hybridMultilevel"/>
    <w:tmpl w:val="AFC00D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836431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54264" w:themeColor="accent6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3F6F67"/>
    <w:multiLevelType w:val="hybridMultilevel"/>
    <w:tmpl w:val="195E9234"/>
    <w:lvl w:ilvl="0" w:tplc="1B468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54264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579293">
    <w:abstractNumId w:val="3"/>
  </w:num>
  <w:num w:numId="2" w16cid:durableId="1135954680">
    <w:abstractNumId w:val="37"/>
  </w:num>
  <w:num w:numId="3" w16cid:durableId="1197500196">
    <w:abstractNumId w:val="13"/>
  </w:num>
  <w:num w:numId="4" w16cid:durableId="365643342">
    <w:abstractNumId w:val="47"/>
  </w:num>
  <w:num w:numId="5" w16cid:durableId="148180500">
    <w:abstractNumId w:val="40"/>
  </w:num>
  <w:num w:numId="6" w16cid:durableId="73015962">
    <w:abstractNumId w:val="25"/>
  </w:num>
  <w:num w:numId="7" w16cid:durableId="1407340186">
    <w:abstractNumId w:val="32"/>
  </w:num>
  <w:num w:numId="8" w16cid:durableId="1030959007">
    <w:abstractNumId w:val="9"/>
  </w:num>
  <w:num w:numId="9" w16cid:durableId="499808849">
    <w:abstractNumId w:val="38"/>
  </w:num>
  <w:num w:numId="10" w16cid:durableId="1481075254">
    <w:abstractNumId w:val="44"/>
  </w:num>
  <w:num w:numId="11" w16cid:durableId="1055811644">
    <w:abstractNumId w:val="21"/>
  </w:num>
  <w:num w:numId="12" w16cid:durableId="968625719">
    <w:abstractNumId w:val="54"/>
  </w:num>
  <w:num w:numId="13" w16cid:durableId="91632660">
    <w:abstractNumId w:val="24"/>
  </w:num>
  <w:num w:numId="14" w16cid:durableId="1035546186">
    <w:abstractNumId w:val="14"/>
  </w:num>
  <w:num w:numId="15" w16cid:durableId="280573126">
    <w:abstractNumId w:val="36"/>
  </w:num>
  <w:num w:numId="16" w16cid:durableId="1388728304">
    <w:abstractNumId w:val="52"/>
  </w:num>
  <w:num w:numId="17" w16cid:durableId="1367946424">
    <w:abstractNumId w:val="31"/>
  </w:num>
  <w:num w:numId="18" w16cid:durableId="1847593947">
    <w:abstractNumId w:val="12"/>
  </w:num>
  <w:num w:numId="19" w16cid:durableId="411973651">
    <w:abstractNumId w:val="45"/>
  </w:num>
  <w:num w:numId="20" w16cid:durableId="2098163959">
    <w:abstractNumId w:val="6"/>
  </w:num>
  <w:num w:numId="21" w16cid:durableId="1447775773">
    <w:abstractNumId w:val="48"/>
  </w:num>
  <w:num w:numId="22" w16cid:durableId="497968402">
    <w:abstractNumId w:val="27"/>
  </w:num>
  <w:num w:numId="23" w16cid:durableId="2018846452">
    <w:abstractNumId w:val="20"/>
  </w:num>
  <w:num w:numId="24" w16cid:durableId="601455720">
    <w:abstractNumId w:val="2"/>
  </w:num>
  <w:num w:numId="25" w16cid:durableId="1735852549">
    <w:abstractNumId w:val="23"/>
  </w:num>
  <w:num w:numId="26" w16cid:durableId="1125924237">
    <w:abstractNumId w:val="5"/>
  </w:num>
  <w:num w:numId="27" w16cid:durableId="561671831">
    <w:abstractNumId w:val="0"/>
    <w:lvlOverride w:ilvl="0">
      <w:lvl w:ilvl="0">
        <w:numFmt w:val="decimal"/>
        <w:lvlText w:val="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72"/>
        </w:rPr>
      </w:lvl>
    </w:lvlOverride>
  </w:num>
  <w:num w:numId="28" w16cid:durableId="1495367130">
    <w:abstractNumId w:val="0"/>
    <w:lvlOverride w:ilvl="0">
      <w:lvl w:ilvl="0">
        <w:numFmt w:val="decimal"/>
        <w:lvlText w:val="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43"/>
        </w:rPr>
      </w:lvl>
    </w:lvlOverride>
  </w:num>
  <w:num w:numId="29" w16cid:durableId="1930428529">
    <w:abstractNumId w:val="0"/>
    <w:lvlOverride w:ilvl="0">
      <w:lvl w:ilvl="0">
        <w:numFmt w:val="decimal"/>
        <w:lvlText w:val="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36"/>
        </w:rPr>
      </w:lvl>
    </w:lvlOverride>
  </w:num>
  <w:num w:numId="30" w16cid:durableId="612398315">
    <w:abstractNumId w:val="0"/>
    <w:lvlOverride w:ilvl="0">
      <w:lvl w:ilvl="0">
        <w:numFmt w:val="decimal"/>
        <w:lvlText w:val="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32"/>
        </w:rPr>
      </w:lvl>
    </w:lvlOverride>
  </w:num>
  <w:num w:numId="31" w16cid:durableId="666328848">
    <w:abstractNumId w:val="0"/>
    <w:lvlOverride w:ilvl="0">
      <w:lvl w:ilvl="0">
        <w:numFmt w:val="decimal"/>
        <w:lvlText w:val="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40"/>
        </w:rPr>
      </w:lvl>
    </w:lvlOverride>
  </w:num>
  <w:num w:numId="32" w16cid:durableId="925455901">
    <w:abstractNumId w:val="0"/>
    <w:lvlOverride w:ilvl="0">
      <w:lvl w:ilvl="0">
        <w:numFmt w:val="decimal"/>
        <w:lvlText w:val="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41"/>
        </w:rPr>
      </w:lvl>
    </w:lvlOverride>
  </w:num>
  <w:num w:numId="33" w16cid:durableId="1472210414">
    <w:abstractNumId w:val="0"/>
    <w:lvlOverride w:ilvl="0">
      <w:lvl w:ilvl="0">
        <w:numFmt w:val="decimal"/>
        <w:lvlText w:val="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41"/>
        </w:rPr>
      </w:lvl>
    </w:lvlOverride>
  </w:num>
  <w:num w:numId="34" w16cid:durableId="1473213692">
    <w:abstractNumId w:val="0"/>
    <w:lvlOverride w:ilvl="0">
      <w:lvl w:ilvl="0">
        <w:numFmt w:val="decimal"/>
        <w:lvlText w:val="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65"/>
        </w:rPr>
      </w:lvl>
    </w:lvlOverride>
  </w:num>
  <w:num w:numId="35" w16cid:durableId="1012875866">
    <w:abstractNumId w:val="0"/>
    <w:lvlOverride w:ilvl="0">
      <w:lvl w:ilvl="0">
        <w:numFmt w:val="decimal"/>
        <w:lvlText w:val="●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sz w:val="32"/>
        </w:rPr>
      </w:lvl>
    </w:lvlOverride>
  </w:num>
  <w:num w:numId="36" w16cid:durableId="1187333517">
    <w:abstractNumId w:val="0"/>
    <w:lvlOverride w:ilvl="0">
      <w:lvl w:ilvl="0">
        <w:numFmt w:val="decimal"/>
        <w:lvlText w:val="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32"/>
        </w:rPr>
      </w:lvl>
    </w:lvlOverride>
  </w:num>
  <w:num w:numId="37" w16cid:durableId="1686322321">
    <w:abstractNumId w:val="0"/>
    <w:lvlOverride w:ilvl="0">
      <w:lvl w:ilvl="0">
        <w:numFmt w:val="decimal"/>
        <w:lvlText w:val="●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sz w:val="36"/>
        </w:rPr>
      </w:lvl>
    </w:lvlOverride>
  </w:num>
  <w:num w:numId="38" w16cid:durableId="929699840">
    <w:abstractNumId w:val="0"/>
    <w:lvlOverride w:ilvl="0">
      <w:lvl w:ilvl="0">
        <w:numFmt w:val="decimal"/>
        <w:lvlText w:val="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32"/>
        </w:rPr>
      </w:lvl>
    </w:lvlOverride>
  </w:num>
  <w:num w:numId="39" w16cid:durableId="2099406477">
    <w:abstractNumId w:val="0"/>
    <w:lvlOverride w:ilvl="0">
      <w:lvl w:ilvl="0">
        <w:numFmt w:val="decimal"/>
        <w:lvlText w:val="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32"/>
        </w:rPr>
      </w:lvl>
    </w:lvlOverride>
  </w:num>
  <w:num w:numId="40" w16cid:durableId="66657373">
    <w:abstractNumId w:val="0"/>
    <w:lvlOverride w:ilvl="0">
      <w:lvl w:ilvl="0">
        <w:numFmt w:val="decimal"/>
        <w:lvlText w:val="●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sz w:val="43"/>
        </w:rPr>
      </w:lvl>
    </w:lvlOverride>
  </w:num>
  <w:num w:numId="41" w16cid:durableId="1417247777">
    <w:abstractNumId w:val="0"/>
    <w:lvlOverride w:ilvl="0">
      <w:lvl w:ilvl="0">
        <w:numFmt w:val="decimal"/>
        <w:lvlText w:val="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50"/>
        </w:rPr>
      </w:lvl>
    </w:lvlOverride>
  </w:num>
  <w:num w:numId="42" w16cid:durableId="1434518494">
    <w:abstractNumId w:val="0"/>
    <w:lvlOverride w:ilvl="0">
      <w:lvl w:ilvl="0">
        <w:numFmt w:val="decimal"/>
        <w:lvlText w:val="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40"/>
        </w:rPr>
      </w:lvl>
    </w:lvlOverride>
  </w:num>
  <w:num w:numId="43" w16cid:durableId="2080979319">
    <w:abstractNumId w:val="0"/>
    <w:lvlOverride w:ilvl="0">
      <w:lvl w:ilvl="0">
        <w:numFmt w:val="decimal"/>
        <w:lvlText w:val="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36"/>
        </w:rPr>
      </w:lvl>
    </w:lvlOverride>
  </w:num>
  <w:num w:numId="44" w16cid:durableId="1581256462">
    <w:abstractNumId w:val="35"/>
  </w:num>
  <w:num w:numId="45" w16cid:durableId="1704405346">
    <w:abstractNumId w:val="42"/>
  </w:num>
  <w:num w:numId="46" w16cid:durableId="1503472226">
    <w:abstractNumId w:val="33"/>
  </w:num>
  <w:num w:numId="47" w16cid:durableId="1362314975">
    <w:abstractNumId w:val="7"/>
  </w:num>
  <w:num w:numId="48" w16cid:durableId="233663769">
    <w:abstractNumId w:val="30"/>
  </w:num>
  <w:num w:numId="49" w16cid:durableId="1820346009">
    <w:abstractNumId w:val="10"/>
  </w:num>
  <w:num w:numId="50" w16cid:durableId="1116756563">
    <w:abstractNumId w:val="50"/>
  </w:num>
  <w:num w:numId="51" w16cid:durableId="196359718">
    <w:abstractNumId w:val="19"/>
  </w:num>
  <w:num w:numId="52" w16cid:durableId="1498809722">
    <w:abstractNumId w:val="39"/>
  </w:num>
  <w:num w:numId="53" w16cid:durableId="828129981">
    <w:abstractNumId w:val="22"/>
  </w:num>
  <w:num w:numId="54" w16cid:durableId="783498914">
    <w:abstractNumId w:val="18"/>
  </w:num>
  <w:num w:numId="55" w16cid:durableId="2097166668">
    <w:abstractNumId w:val="43"/>
  </w:num>
  <w:num w:numId="56" w16cid:durableId="1607888910">
    <w:abstractNumId w:val="16"/>
  </w:num>
  <w:num w:numId="57" w16cid:durableId="1933123842">
    <w:abstractNumId w:val="51"/>
  </w:num>
  <w:num w:numId="58" w16cid:durableId="1072922519">
    <w:abstractNumId w:val="26"/>
  </w:num>
  <w:num w:numId="59" w16cid:durableId="256255983">
    <w:abstractNumId w:val="34"/>
  </w:num>
  <w:num w:numId="60" w16cid:durableId="827134380">
    <w:abstractNumId w:val="17"/>
  </w:num>
  <w:num w:numId="61" w16cid:durableId="1660113088">
    <w:abstractNumId w:val="8"/>
  </w:num>
  <w:num w:numId="62" w16cid:durableId="1853300538">
    <w:abstractNumId w:val="28"/>
  </w:num>
  <w:num w:numId="63" w16cid:durableId="130365723">
    <w:abstractNumId w:val="4"/>
  </w:num>
  <w:num w:numId="64" w16cid:durableId="1666781063">
    <w:abstractNumId w:val="46"/>
  </w:num>
  <w:num w:numId="65" w16cid:durableId="433330404">
    <w:abstractNumId w:val="15"/>
  </w:num>
  <w:num w:numId="66" w16cid:durableId="1254237842">
    <w:abstractNumId w:val="49"/>
  </w:num>
  <w:num w:numId="67" w16cid:durableId="1225675031">
    <w:abstractNumId w:val="37"/>
  </w:num>
  <w:num w:numId="68" w16cid:durableId="1562054511">
    <w:abstractNumId w:val="37"/>
  </w:num>
  <w:num w:numId="69" w16cid:durableId="1370640702">
    <w:abstractNumId w:val="37"/>
  </w:num>
  <w:num w:numId="70" w16cid:durableId="1119029318">
    <w:abstractNumId w:val="37"/>
  </w:num>
  <w:num w:numId="71" w16cid:durableId="1321736818">
    <w:abstractNumId w:val="37"/>
  </w:num>
  <w:num w:numId="72" w16cid:durableId="1504205225">
    <w:abstractNumId w:val="37"/>
  </w:num>
  <w:num w:numId="73" w16cid:durableId="1839151617">
    <w:abstractNumId w:val="37"/>
  </w:num>
  <w:num w:numId="74" w16cid:durableId="381440498">
    <w:abstractNumId w:val="37"/>
  </w:num>
  <w:num w:numId="75" w16cid:durableId="1769695052">
    <w:abstractNumId w:val="37"/>
  </w:num>
  <w:num w:numId="76" w16cid:durableId="1057557411">
    <w:abstractNumId w:val="37"/>
  </w:num>
  <w:num w:numId="77" w16cid:durableId="520246619">
    <w:abstractNumId w:val="37"/>
  </w:num>
  <w:num w:numId="78" w16cid:durableId="589124666">
    <w:abstractNumId w:val="37"/>
  </w:num>
  <w:num w:numId="79" w16cid:durableId="1693920332">
    <w:abstractNumId w:val="37"/>
  </w:num>
  <w:num w:numId="80" w16cid:durableId="1320845213">
    <w:abstractNumId w:val="37"/>
  </w:num>
  <w:num w:numId="81" w16cid:durableId="942422116">
    <w:abstractNumId w:val="37"/>
  </w:num>
  <w:num w:numId="82" w16cid:durableId="405343289">
    <w:abstractNumId w:val="37"/>
  </w:num>
  <w:num w:numId="83" w16cid:durableId="1587374503">
    <w:abstractNumId w:val="37"/>
  </w:num>
  <w:num w:numId="84" w16cid:durableId="2131975506">
    <w:abstractNumId w:val="37"/>
  </w:num>
  <w:num w:numId="85" w16cid:durableId="1529681986">
    <w:abstractNumId w:val="37"/>
  </w:num>
  <w:num w:numId="86" w16cid:durableId="159123415">
    <w:abstractNumId w:val="37"/>
  </w:num>
  <w:num w:numId="87" w16cid:durableId="815684155">
    <w:abstractNumId w:val="41"/>
  </w:num>
  <w:num w:numId="88" w16cid:durableId="1927956368">
    <w:abstractNumId w:val="29"/>
  </w:num>
  <w:num w:numId="89" w16cid:durableId="828835842">
    <w:abstractNumId w:val="53"/>
  </w:num>
  <w:num w:numId="90" w16cid:durableId="864710169">
    <w:abstractNumId w:val="11"/>
  </w:num>
  <w:num w:numId="91" w16cid:durableId="1957252694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80"/>
    <w:rsid w:val="000065CE"/>
    <w:rsid w:val="000138E1"/>
    <w:rsid w:val="00016FF9"/>
    <w:rsid w:val="00020B95"/>
    <w:rsid w:val="00023070"/>
    <w:rsid w:val="00032960"/>
    <w:rsid w:val="000471F1"/>
    <w:rsid w:val="000574F0"/>
    <w:rsid w:val="0006778D"/>
    <w:rsid w:val="00067AFA"/>
    <w:rsid w:val="00071E5A"/>
    <w:rsid w:val="00073DDF"/>
    <w:rsid w:val="00075588"/>
    <w:rsid w:val="000776D4"/>
    <w:rsid w:val="000805DB"/>
    <w:rsid w:val="000820C5"/>
    <w:rsid w:val="0008715A"/>
    <w:rsid w:val="000873FC"/>
    <w:rsid w:val="00087CD7"/>
    <w:rsid w:val="0009115A"/>
    <w:rsid w:val="00091703"/>
    <w:rsid w:val="0009593D"/>
    <w:rsid w:val="00095CF7"/>
    <w:rsid w:val="000A4A00"/>
    <w:rsid w:val="000B0D97"/>
    <w:rsid w:val="000B5F2B"/>
    <w:rsid w:val="000C096D"/>
    <w:rsid w:val="000D4C26"/>
    <w:rsid w:val="000D7270"/>
    <w:rsid w:val="000E30AD"/>
    <w:rsid w:val="000E63D1"/>
    <w:rsid w:val="000F4AF2"/>
    <w:rsid w:val="00102F6C"/>
    <w:rsid w:val="00104475"/>
    <w:rsid w:val="0012313D"/>
    <w:rsid w:val="00132718"/>
    <w:rsid w:val="00155670"/>
    <w:rsid w:val="001564A3"/>
    <w:rsid w:val="00176AC2"/>
    <w:rsid w:val="00183ECF"/>
    <w:rsid w:val="001922DF"/>
    <w:rsid w:val="00192A5C"/>
    <w:rsid w:val="00196864"/>
    <w:rsid w:val="00196EB0"/>
    <w:rsid w:val="001A25E2"/>
    <w:rsid w:val="001A353C"/>
    <w:rsid w:val="001A4D45"/>
    <w:rsid w:val="001B4E9D"/>
    <w:rsid w:val="001C3834"/>
    <w:rsid w:val="001C7630"/>
    <w:rsid w:val="001D3815"/>
    <w:rsid w:val="001D60E4"/>
    <w:rsid w:val="001E1819"/>
    <w:rsid w:val="001E46AA"/>
    <w:rsid w:val="001E5843"/>
    <w:rsid w:val="00203A6C"/>
    <w:rsid w:val="002041DF"/>
    <w:rsid w:val="00205436"/>
    <w:rsid w:val="002447A8"/>
    <w:rsid w:val="00250F03"/>
    <w:rsid w:val="00255E97"/>
    <w:rsid w:val="00256197"/>
    <w:rsid w:val="00260E3E"/>
    <w:rsid w:val="00281626"/>
    <w:rsid w:val="00291474"/>
    <w:rsid w:val="002951CB"/>
    <w:rsid w:val="002A7F2B"/>
    <w:rsid w:val="002C1527"/>
    <w:rsid w:val="002C59D9"/>
    <w:rsid w:val="002C7976"/>
    <w:rsid w:val="002D4492"/>
    <w:rsid w:val="002D7A78"/>
    <w:rsid w:val="002E1190"/>
    <w:rsid w:val="002F1B72"/>
    <w:rsid w:val="003078C8"/>
    <w:rsid w:val="00323B21"/>
    <w:rsid w:val="00333C62"/>
    <w:rsid w:val="0034517D"/>
    <w:rsid w:val="0035072A"/>
    <w:rsid w:val="00354B6B"/>
    <w:rsid w:val="00355E65"/>
    <w:rsid w:val="00360981"/>
    <w:rsid w:val="00365371"/>
    <w:rsid w:val="00390A89"/>
    <w:rsid w:val="0039784F"/>
    <w:rsid w:val="003A299D"/>
    <w:rsid w:val="003A6689"/>
    <w:rsid w:val="003C1DFC"/>
    <w:rsid w:val="003E0C07"/>
    <w:rsid w:val="003E5439"/>
    <w:rsid w:val="003F00AE"/>
    <w:rsid w:val="003F3522"/>
    <w:rsid w:val="004020C3"/>
    <w:rsid w:val="00415F1E"/>
    <w:rsid w:val="0043544A"/>
    <w:rsid w:val="00442CB9"/>
    <w:rsid w:val="00446B8A"/>
    <w:rsid w:val="00453BD5"/>
    <w:rsid w:val="00454E36"/>
    <w:rsid w:val="00472EC6"/>
    <w:rsid w:val="00482A8A"/>
    <w:rsid w:val="00487F04"/>
    <w:rsid w:val="004A5B2C"/>
    <w:rsid w:val="004D7E26"/>
    <w:rsid w:val="00507797"/>
    <w:rsid w:val="00510165"/>
    <w:rsid w:val="00514F17"/>
    <w:rsid w:val="00521722"/>
    <w:rsid w:val="005230ED"/>
    <w:rsid w:val="00523CB8"/>
    <w:rsid w:val="005342A5"/>
    <w:rsid w:val="005419FE"/>
    <w:rsid w:val="00544F8A"/>
    <w:rsid w:val="005574DF"/>
    <w:rsid w:val="005620CC"/>
    <w:rsid w:val="00576BC0"/>
    <w:rsid w:val="00581F17"/>
    <w:rsid w:val="0058540A"/>
    <w:rsid w:val="005A1445"/>
    <w:rsid w:val="005A4488"/>
    <w:rsid w:val="005A5034"/>
    <w:rsid w:val="005B20A3"/>
    <w:rsid w:val="005B2DEF"/>
    <w:rsid w:val="005B5808"/>
    <w:rsid w:val="005D034E"/>
    <w:rsid w:val="005D03C2"/>
    <w:rsid w:val="005D5403"/>
    <w:rsid w:val="005D540F"/>
    <w:rsid w:val="005E6729"/>
    <w:rsid w:val="005E6C12"/>
    <w:rsid w:val="005E704B"/>
    <w:rsid w:val="005F3259"/>
    <w:rsid w:val="005F6887"/>
    <w:rsid w:val="006019BF"/>
    <w:rsid w:val="0061252C"/>
    <w:rsid w:val="00616C29"/>
    <w:rsid w:val="00616F92"/>
    <w:rsid w:val="00624B52"/>
    <w:rsid w:val="006266E4"/>
    <w:rsid w:val="0062673D"/>
    <w:rsid w:val="00627CB1"/>
    <w:rsid w:val="00631C52"/>
    <w:rsid w:val="00651AB3"/>
    <w:rsid w:val="00660B34"/>
    <w:rsid w:val="00673B3B"/>
    <w:rsid w:val="006752E9"/>
    <w:rsid w:val="00680F13"/>
    <w:rsid w:val="00682724"/>
    <w:rsid w:val="00684571"/>
    <w:rsid w:val="00684647"/>
    <w:rsid w:val="0068746B"/>
    <w:rsid w:val="0069792C"/>
    <w:rsid w:val="006D1B69"/>
    <w:rsid w:val="00700263"/>
    <w:rsid w:val="007004DA"/>
    <w:rsid w:val="0071005E"/>
    <w:rsid w:val="0071025E"/>
    <w:rsid w:val="0073788D"/>
    <w:rsid w:val="00754DB9"/>
    <w:rsid w:val="00764111"/>
    <w:rsid w:val="00771FD8"/>
    <w:rsid w:val="0077569A"/>
    <w:rsid w:val="00790A9A"/>
    <w:rsid w:val="007C1EAC"/>
    <w:rsid w:val="007E0BF0"/>
    <w:rsid w:val="007E0E68"/>
    <w:rsid w:val="007E1671"/>
    <w:rsid w:val="007E4573"/>
    <w:rsid w:val="007E5385"/>
    <w:rsid w:val="007F1987"/>
    <w:rsid w:val="007F4F9C"/>
    <w:rsid w:val="00805863"/>
    <w:rsid w:val="008118F5"/>
    <w:rsid w:val="0081298E"/>
    <w:rsid w:val="008157C9"/>
    <w:rsid w:val="00835076"/>
    <w:rsid w:val="00835E53"/>
    <w:rsid w:val="008372D1"/>
    <w:rsid w:val="00840F15"/>
    <w:rsid w:val="00843B2D"/>
    <w:rsid w:val="008578E8"/>
    <w:rsid w:val="008D29B0"/>
    <w:rsid w:val="008D6698"/>
    <w:rsid w:val="008E7AF4"/>
    <w:rsid w:val="008F498A"/>
    <w:rsid w:val="00913331"/>
    <w:rsid w:val="00924770"/>
    <w:rsid w:val="00927229"/>
    <w:rsid w:val="0095071F"/>
    <w:rsid w:val="0095374D"/>
    <w:rsid w:val="009828A8"/>
    <w:rsid w:val="00983CF8"/>
    <w:rsid w:val="0099023D"/>
    <w:rsid w:val="0099144C"/>
    <w:rsid w:val="00996A44"/>
    <w:rsid w:val="009A3C89"/>
    <w:rsid w:val="009A5126"/>
    <w:rsid w:val="009B4431"/>
    <w:rsid w:val="009B5A46"/>
    <w:rsid w:val="009C03B3"/>
    <w:rsid w:val="009D1F96"/>
    <w:rsid w:val="009D70EC"/>
    <w:rsid w:val="009D758C"/>
    <w:rsid w:val="009E27C7"/>
    <w:rsid w:val="009E4651"/>
    <w:rsid w:val="009E47FD"/>
    <w:rsid w:val="009F58C3"/>
    <w:rsid w:val="00A00329"/>
    <w:rsid w:val="00A01995"/>
    <w:rsid w:val="00A041BF"/>
    <w:rsid w:val="00A0722D"/>
    <w:rsid w:val="00A142DB"/>
    <w:rsid w:val="00A227C8"/>
    <w:rsid w:val="00A266F7"/>
    <w:rsid w:val="00A26746"/>
    <w:rsid w:val="00A303EB"/>
    <w:rsid w:val="00A371EF"/>
    <w:rsid w:val="00A4179C"/>
    <w:rsid w:val="00A42363"/>
    <w:rsid w:val="00A425E2"/>
    <w:rsid w:val="00A46394"/>
    <w:rsid w:val="00A64DD9"/>
    <w:rsid w:val="00A74641"/>
    <w:rsid w:val="00A74AFB"/>
    <w:rsid w:val="00A766F4"/>
    <w:rsid w:val="00A852FC"/>
    <w:rsid w:val="00A94D29"/>
    <w:rsid w:val="00AA7236"/>
    <w:rsid w:val="00AB3B1F"/>
    <w:rsid w:val="00AB4EC6"/>
    <w:rsid w:val="00AB51F3"/>
    <w:rsid w:val="00AD1912"/>
    <w:rsid w:val="00AE00E0"/>
    <w:rsid w:val="00AE29C8"/>
    <w:rsid w:val="00AE2B81"/>
    <w:rsid w:val="00AF33F6"/>
    <w:rsid w:val="00B01EDB"/>
    <w:rsid w:val="00B03A80"/>
    <w:rsid w:val="00B160FD"/>
    <w:rsid w:val="00B20332"/>
    <w:rsid w:val="00B24A63"/>
    <w:rsid w:val="00B330AF"/>
    <w:rsid w:val="00B33405"/>
    <w:rsid w:val="00B344CD"/>
    <w:rsid w:val="00B43701"/>
    <w:rsid w:val="00B43DED"/>
    <w:rsid w:val="00B4705A"/>
    <w:rsid w:val="00B47BCA"/>
    <w:rsid w:val="00B51B11"/>
    <w:rsid w:val="00B56B30"/>
    <w:rsid w:val="00B61D80"/>
    <w:rsid w:val="00B76987"/>
    <w:rsid w:val="00B90026"/>
    <w:rsid w:val="00B9237F"/>
    <w:rsid w:val="00B96CC0"/>
    <w:rsid w:val="00BA0023"/>
    <w:rsid w:val="00BA234A"/>
    <w:rsid w:val="00BA345A"/>
    <w:rsid w:val="00BA3F66"/>
    <w:rsid w:val="00BA6953"/>
    <w:rsid w:val="00BB2946"/>
    <w:rsid w:val="00BB441F"/>
    <w:rsid w:val="00BC4D64"/>
    <w:rsid w:val="00BC62E2"/>
    <w:rsid w:val="00BD08CC"/>
    <w:rsid w:val="00BD2BA2"/>
    <w:rsid w:val="00BE7A97"/>
    <w:rsid w:val="00C25A3B"/>
    <w:rsid w:val="00C3203F"/>
    <w:rsid w:val="00C35207"/>
    <w:rsid w:val="00C369B7"/>
    <w:rsid w:val="00C3704E"/>
    <w:rsid w:val="00C432D3"/>
    <w:rsid w:val="00C45C27"/>
    <w:rsid w:val="00C47F88"/>
    <w:rsid w:val="00C51891"/>
    <w:rsid w:val="00C5237B"/>
    <w:rsid w:val="00C55892"/>
    <w:rsid w:val="00C56846"/>
    <w:rsid w:val="00C754CC"/>
    <w:rsid w:val="00C8111C"/>
    <w:rsid w:val="00CA7453"/>
    <w:rsid w:val="00CB39DA"/>
    <w:rsid w:val="00CB5D6B"/>
    <w:rsid w:val="00CB69E7"/>
    <w:rsid w:val="00CC2BA4"/>
    <w:rsid w:val="00CD5D15"/>
    <w:rsid w:val="00CE4182"/>
    <w:rsid w:val="00CE4BD1"/>
    <w:rsid w:val="00CF27D7"/>
    <w:rsid w:val="00CF59E2"/>
    <w:rsid w:val="00D15783"/>
    <w:rsid w:val="00D17408"/>
    <w:rsid w:val="00D23F37"/>
    <w:rsid w:val="00D45C28"/>
    <w:rsid w:val="00D52381"/>
    <w:rsid w:val="00D54BEB"/>
    <w:rsid w:val="00D77678"/>
    <w:rsid w:val="00D77DE3"/>
    <w:rsid w:val="00D835BC"/>
    <w:rsid w:val="00D84622"/>
    <w:rsid w:val="00D91CBD"/>
    <w:rsid w:val="00DA292B"/>
    <w:rsid w:val="00DA5320"/>
    <w:rsid w:val="00DA6F4E"/>
    <w:rsid w:val="00DC22A1"/>
    <w:rsid w:val="00DC58F5"/>
    <w:rsid w:val="00DD0B90"/>
    <w:rsid w:val="00DD53F3"/>
    <w:rsid w:val="00DE06E9"/>
    <w:rsid w:val="00DE40E3"/>
    <w:rsid w:val="00DE452A"/>
    <w:rsid w:val="00DE615F"/>
    <w:rsid w:val="00DE6C33"/>
    <w:rsid w:val="00DF12F9"/>
    <w:rsid w:val="00DF52CC"/>
    <w:rsid w:val="00DF7843"/>
    <w:rsid w:val="00E12742"/>
    <w:rsid w:val="00E142B2"/>
    <w:rsid w:val="00E26410"/>
    <w:rsid w:val="00E30ADF"/>
    <w:rsid w:val="00E3783D"/>
    <w:rsid w:val="00E37D17"/>
    <w:rsid w:val="00E55BB6"/>
    <w:rsid w:val="00E56D9E"/>
    <w:rsid w:val="00E61ADB"/>
    <w:rsid w:val="00E803A4"/>
    <w:rsid w:val="00E94E69"/>
    <w:rsid w:val="00EA4708"/>
    <w:rsid w:val="00EA7373"/>
    <w:rsid w:val="00EB64BA"/>
    <w:rsid w:val="00EC48BE"/>
    <w:rsid w:val="00EC5AB6"/>
    <w:rsid w:val="00EF5A61"/>
    <w:rsid w:val="00EF6B69"/>
    <w:rsid w:val="00F06A57"/>
    <w:rsid w:val="00F1246F"/>
    <w:rsid w:val="00F2174E"/>
    <w:rsid w:val="00F21D2D"/>
    <w:rsid w:val="00F224A5"/>
    <w:rsid w:val="00F4590C"/>
    <w:rsid w:val="00F56A96"/>
    <w:rsid w:val="00F574E7"/>
    <w:rsid w:val="00F741C5"/>
    <w:rsid w:val="00F767A4"/>
    <w:rsid w:val="00FA2F9E"/>
    <w:rsid w:val="00FB4AD3"/>
    <w:rsid w:val="00FC4E46"/>
    <w:rsid w:val="00FC712C"/>
    <w:rsid w:val="00FD2A6E"/>
    <w:rsid w:val="00FD56FA"/>
    <w:rsid w:val="00FE37F7"/>
    <w:rsid w:val="00FE72F6"/>
    <w:rsid w:val="00FF1562"/>
    <w:rsid w:val="00FF5C06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4184C"/>
  <w15:chartTrackingRefBased/>
  <w15:docId w15:val="{2CE74553-1AD1-4D6B-9017-1333D5EC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960"/>
    <w:pPr>
      <w:spacing w:after="0" w:line="400" w:lineRule="exact"/>
    </w:pPr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1E5A"/>
    <w:pPr>
      <w:keepNext/>
      <w:keepLines/>
      <w:spacing w:after="120" w:line="264" w:lineRule="auto"/>
      <w:outlineLvl w:val="0"/>
    </w:pPr>
    <w:rPr>
      <w:rFonts w:eastAsia="Times New Roman" w:cstheme="majorBidi"/>
      <w:b/>
      <w:bCs/>
      <w:color w:val="254264" w:themeColor="accent6"/>
      <w:spacing w:val="6"/>
      <w:sz w:val="56"/>
      <w:szCs w:val="56"/>
      <w:lang w:val="e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752E9"/>
    <w:pPr>
      <w:keepNext/>
      <w:keepLines/>
      <w:numPr>
        <w:numId w:val="2"/>
      </w:numPr>
      <w:tabs>
        <w:tab w:val="left" w:pos="900"/>
      </w:tabs>
      <w:spacing w:before="480" w:after="240"/>
      <w:ind w:left="1627" w:hanging="1627"/>
      <w:outlineLvl w:val="1"/>
    </w:pPr>
    <w:rPr>
      <w:rFonts w:cstheme="majorBidi"/>
      <w:b/>
      <w:bCs/>
      <w:color w:val="36614D" w:themeColor="accent3" w:themeShade="BF"/>
      <w:sz w:val="36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E27C7"/>
    <w:pPr>
      <w:keepNext/>
      <w:numPr>
        <w:numId w:val="1"/>
      </w:numPr>
      <w:spacing w:before="240" w:after="60"/>
      <w:outlineLvl w:val="2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5A"/>
    <w:rPr>
      <w:rFonts w:eastAsia="Times New Roman" w:cstheme="majorBidi"/>
      <w:b/>
      <w:bCs/>
      <w:color w:val="254264" w:themeColor="accent6"/>
      <w:spacing w:val="6"/>
      <w:sz w:val="56"/>
      <w:szCs w:val="56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6752E9"/>
    <w:rPr>
      <w:rFonts w:cstheme="majorBidi"/>
      <w:b/>
      <w:bCs/>
      <w:color w:val="36614D" w:themeColor="accent3" w:themeShade="BF"/>
      <w:sz w:val="36"/>
      <w:szCs w:val="2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A345A"/>
    <w:pPr>
      <w:spacing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45A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BA345A"/>
    <w:rPr>
      <w:rFonts w:asciiTheme="minorHAnsi" w:hAnsiTheme="minorHAnsi"/>
      <w:i/>
      <w:iCs/>
      <w:color w:val="C0AF8C" w:themeColor="text2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9E27C7"/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207"/>
    <w:pPr>
      <w:numPr>
        <w:ilvl w:val="1"/>
      </w:numPr>
      <w:spacing w:line="288" w:lineRule="auto"/>
    </w:pPr>
    <w:rPr>
      <w:rFonts w:eastAsia="Times New Roman"/>
      <w:b/>
      <w:color w:val="467BAB" w:themeColor="accent4"/>
      <w:spacing w:val="15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35207"/>
    <w:rPr>
      <w:rFonts w:eastAsia="Times New Roman"/>
      <w:b/>
      <w:color w:val="467BAB" w:themeColor="accent4"/>
      <w:spacing w:val="15"/>
      <w:sz w:val="48"/>
      <w:szCs w:val="48"/>
    </w:rPr>
  </w:style>
  <w:style w:type="paragraph" w:styleId="NoSpacing">
    <w:name w:val="No Spacing"/>
    <w:uiPriority w:val="1"/>
    <w:qFormat/>
    <w:rsid w:val="00B61D80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5D54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D97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064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13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08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92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39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71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9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88">
          <w:marLeft w:val="3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028">
          <w:marLeft w:val="3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73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485">
          <w:marLeft w:val="3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10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734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1221">
          <w:marLeft w:val="36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1573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116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717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34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341">
          <w:marLeft w:val="274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2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1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979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7411">
          <w:marLeft w:val="187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263">
          <w:marLeft w:val="187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4671">
          <w:marLeft w:val="187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0698">
          <w:marLeft w:val="4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554">
          <w:marLeft w:val="4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180">
          <w:marLeft w:val="446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9097">
          <w:marLeft w:val="446"/>
          <w:marRight w:val="0"/>
          <w:marTop w:val="320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368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69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99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715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4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4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66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8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2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32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372">
          <w:marLeft w:val="187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4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01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92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017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541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8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824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774">
          <w:marLeft w:val="187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8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4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7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1854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6934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4077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431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802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518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3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90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95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vroi.org/resourc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rroi.org/resources/institute-on-rehabilitation-issues-roi/" TargetMode="External"/></Relationships>
</file>

<file path=word/theme/theme1.xml><?xml version="1.0" encoding="utf-8"?>
<a:theme xmlns:a="http://schemas.openxmlformats.org/drawingml/2006/main" name="NTACTC">
  <a:themeElements>
    <a:clrScheme name="VR">
      <a:dk1>
        <a:srgbClr val="000000"/>
      </a:dk1>
      <a:lt1>
        <a:srgbClr val="FFFFFF"/>
      </a:lt1>
      <a:dk2>
        <a:srgbClr val="C0AF8C"/>
      </a:dk2>
      <a:lt2>
        <a:srgbClr val="FAEDBC"/>
      </a:lt2>
      <a:accent1>
        <a:srgbClr val="925229"/>
      </a:accent1>
      <a:accent2>
        <a:srgbClr val="F1C741"/>
      </a:accent2>
      <a:accent3>
        <a:srgbClr val="498268"/>
      </a:accent3>
      <a:accent4>
        <a:srgbClr val="467BAB"/>
      </a:accent4>
      <a:accent5>
        <a:srgbClr val="92C050"/>
      </a:accent5>
      <a:accent6>
        <a:srgbClr val="254264"/>
      </a:accent6>
      <a:hlink>
        <a:srgbClr val="000000"/>
      </a:hlink>
      <a:folHlink>
        <a:srgbClr val="C21F3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B4CD10FCCE840A9F7A60CFEA07643" ma:contentTypeVersion="17" ma:contentTypeDescription="Create a new document." ma:contentTypeScope="" ma:versionID="83e43fb4e3658ded98e87e5342494afd">
  <xsd:schema xmlns:xsd="http://www.w3.org/2001/XMLSchema" xmlns:xs="http://www.w3.org/2001/XMLSchema" xmlns:p="http://schemas.microsoft.com/office/2006/metadata/properties" xmlns:ns2="54a9d15e-ee5c-48f1-9d99-365d542a9913" xmlns:ns3="4ba7d84b-d7bd-46b4-a66c-7a610aef47b7" targetNamespace="http://schemas.microsoft.com/office/2006/metadata/properties" ma:root="true" ma:fieldsID="4979febb1e9aeba4e7fa806d8bba48f9" ns2:_="" ns3:_="">
    <xsd:import namespace="54a9d15e-ee5c-48f1-9d99-365d542a9913"/>
    <xsd:import namespace="4ba7d84b-d7bd-46b4-a66c-7a610aef4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9d15e-ee5c-48f1-9d99-365d542a9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db4deb-8d57-425f-b55a-80c757ad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d84b-d7bd-46b4-a66c-7a610aef47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f04fa3-e4a5-44fd-aa02-cf510cf6520a}" ma:internalName="TaxCatchAll" ma:showField="CatchAllData" ma:web="4ba7d84b-d7bd-46b4-a66c-7a610aef4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7d84b-d7bd-46b4-a66c-7a610aef47b7" xsi:nil="true"/>
    <lcf76f155ced4ddcb4097134ff3c332f xmlns="54a9d15e-ee5c-48f1-9d99-365d542a99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9A9B1F-A9AE-4A44-9D2F-1C142E2D8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157DB-652C-47C9-B61F-D1EB5E283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a9d15e-ee5c-48f1-9d99-365d542a9913"/>
    <ds:schemaRef ds:uri="4ba7d84b-d7bd-46b4-a66c-7a610aef4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C5937-B162-41E0-9A38-E91B20BCD205}">
  <ds:schemaRefs>
    <ds:schemaRef ds:uri="http://schemas.microsoft.com/office/2006/metadata/properties"/>
    <ds:schemaRef ds:uri="http://schemas.microsoft.com/office/infopath/2007/PartnerControls"/>
    <ds:schemaRef ds:uri="4ba7d84b-d7bd-46b4-a66c-7a610aef47b7"/>
    <ds:schemaRef ds:uri="54a9d15e-ee5c-48f1-9d99-365d542a99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1908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Kulow</dc:creator>
  <cp:keywords/>
  <dc:description/>
  <cp:lastModifiedBy>Erin Beck</cp:lastModifiedBy>
  <cp:revision>57</cp:revision>
  <dcterms:created xsi:type="dcterms:W3CDTF">2023-12-01T19:50:00Z</dcterms:created>
  <dcterms:modified xsi:type="dcterms:W3CDTF">2024-01-25T15:41:00Z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0x010100A1AB4CD10FCCE840A9F7A60CFEA07643</vt:lpwstr>
  </property>
  <property fmtid="{D5CDD505-2E9C-101B-9397-08002B2CF9AE}" pid="3" name="Order">
    <vt:r8>26646400</vt:r8>
  </property>
  <property fmtid="{D5CDD505-2E9C-101B-9397-08002B2CF9AE}" pid="4" name="MediaServiceImageTags">
    <vt:lpwstr/>
  </property>
</Properties>
</file>