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A30F9" w14:textId="2CE5B217" w:rsidR="00071E5A" w:rsidRDefault="00071E5A" w:rsidP="00071E5A">
      <w:pPr>
        <w:pStyle w:val="Heading1"/>
      </w:pPr>
      <w:r>
        <w:rPr>
          <w:noProof/>
        </w:rPr>
        <w:drawing>
          <wp:inline distT="0" distB="0" distL="0" distR="0" wp14:anchorId="02EDE4BE" wp14:editId="1BC679E2">
            <wp:extent cx="2333625" cy="666750"/>
            <wp:effectExtent l="0" t="0" r="0" b="0"/>
            <wp:docPr id="1551830922" name="Picture 1" descr="VR-R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30922" name="Picture 1" descr="VR-ROI logo"/>
                    <pic:cNvPicPr/>
                  </pic:nvPicPr>
                  <pic:blipFill>
                    <a:blip r:embed="rId8">
                      <a:extLst>
                        <a:ext uri="{28A0092B-C50C-407E-A947-70E740481C1C}">
                          <a14:useLocalDpi xmlns:a14="http://schemas.microsoft.com/office/drawing/2010/main" val="0"/>
                        </a:ext>
                      </a:extLst>
                    </a:blip>
                    <a:stretch>
                      <a:fillRect/>
                    </a:stretch>
                  </pic:blipFill>
                  <pic:spPr>
                    <a:xfrm>
                      <a:off x="0" y="0"/>
                      <a:ext cx="2333625" cy="666750"/>
                    </a:xfrm>
                    <a:prstGeom prst="rect">
                      <a:avLst/>
                    </a:prstGeom>
                  </pic:spPr>
                </pic:pic>
              </a:graphicData>
            </a:graphic>
          </wp:inline>
        </w:drawing>
      </w:r>
    </w:p>
    <w:p w14:paraId="625248DA" w14:textId="0B4FCE4E" w:rsidR="00454E36" w:rsidRPr="00071E5A" w:rsidRDefault="00A303EB" w:rsidP="00071E5A">
      <w:pPr>
        <w:pStyle w:val="Heading1"/>
      </w:pPr>
      <w:r w:rsidRPr="00071E5A">
        <w:t>Return on Investment in Vocational Rehabilitation: A Primer</w:t>
      </w:r>
    </w:p>
    <w:p w14:paraId="655ACD8F" w14:textId="0B1003C6" w:rsidR="00115766" w:rsidRDefault="00454E36" w:rsidP="00882396">
      <w:pPr>
        <w:spacing w:after="120" w:line="264" w:lineRule="auto"/>
        <w:rPr>
          <w:b/>
          <w:bCs/>
          <w:sz w:val="40"/>
          <w:szCs w:val="32"/>
        </w:rPr>
      </w:pPr>
      <w:r w:rsidRPr="00071E5A">
        <w:rPr>
          <w:rStyle w:val="SubtitleChar"/>
          <w:rFonts w:eastAsiaTheme="minorHAnsi"/>
          <w:sz w:val="44"/>
          <w:szCs w:val="44"/>
        </w:rPr>
        <w:t>Made possible by a grant from the National Institute on Disability, Independent Living, and Rehabilitation Research #90IFDV0028.</w:t>
      </w:r>
      <w:r w:rsidR="00A303EB" w:rsidRPr="00A303EB">
        <w:rPr>
          <w:b/>
          <w:bCs/>
        </w:rPr>
        <w:br/>
      </w:r>
      <w:r w:rsidR="006252EC" w:rsidRPr="006252EC">
        <w:rPr>
          <w:b/>
          <w:bCs/>
          <w:sz w:val="40"/>
          <w:szCs w:val="32"/>
        </w:rPr>
        <w:t>Lesson 3: Applied Examples</w:t>
      </w:r>
    </w:p>
    <w:p w14:paraId="6E137D69" w14:textId="343FCBBD" w:rsidR="004B0BFA" w:rsidRPr="004D3B12" w:rsidRDefault="004B0BFA" w:rsidP="003C1F17">
      <w:pPr>
        <w:pStyle w:val="Heading2"/>
      </w:pPr>
      <w:r w:rsidRPr="004B0BFA">
        <w:t>Overview and Instructions</w:t>
      </w:r>
    </w:p>
    <w:p w14:paraId="7CBF15D5" w14:textId="77777777" w:rsidR="004B0BFA" w:rsidRPr="004B0BFA" w:rsidRDefault="004B0BFA" w:rsidP="003C1F17">
      <w:pPr>
        <w:pStyle w:val="Heading2"/>
      </w:pPr>
      <w:r w:rsidRPr="004B0BFA">
        <w:t>Overview</w:t>
      </w:r>
    </w:p>
    <w:p w14:paraId="49B593C6" w14:textId="77777777" w:rsidR="004B0BFA" w:rsidRDefault="004B0BFA" w:rsidP="004D3B12">
      <w:r w:rsidRPr="004B0BFA">
        <w:t>Lesson 1 explained the basic terminology of ROI as well as some ethical considerations in using ROI data.</w:t>
      </w:r>
    </w:p>
    <w:p w14:paraId="61F40BBF" w14:textId="77777777" w:rsidR="00BA4C7C" w:rsidRPr="004B0BFA" w:rsidRDefault="00BA4C7C" w:rsidP="004D3B12"/>
    <w:p w14:paraId="55F2F576" w14:textId="77777777" w:rsidR="004B0BFA" w:rsidRDefault="004B0BFA" w:rsidP="004D3B12">
      <w:r w:rsidRPr="004B0BFA">
        <w:t xml:space="preserve">In Lesson 2, you were introduced to the VR ROI Project and its approach to estimating ROI for VR </w:t>
      </w:r>
      <w:proofErr w:type="gramStart"/>
      <w:r w:rsidRPr="004B0BFA">
        <w:t>programs</w:t>
      </w:r>
      <w:proofErr w:type="gramEnd"/>
    </w:p>
    <w:p w14:paraId="6E926FCE" w14:textId="77777777" w:rsidR="00BA4C7C" w:rsidRPr="004B0BFA" w:rsidRDefault="00BA4C7C" w:rsidP="004D3B12"/>
    <w:p w14:paraId="2240DFDE" w14:textId="2AD2FA6E" w:rsidR="004B0BFA" w:rsidRPr="004B0BFA" w:rsidRDefault="004B0BFA" w:rsidP="00BA4C7C">
      <w:r w:rsidRPr="004B0BFA">
        <w:t xml:space="preserve">Lesson 3 provides you with illustrative examples and practical </w:t>
      </w:r>
      <w:proofErr w:type="gramStart"/>
      <w:r w:rsidRPr="004B0BFA">
        <w:t>application</w:t>
      </w:r>
      <w:proofErr w:type="gramEnd"/>
      <w:r w:rsidRPr="004B0BFA">
        <w:t xml:space="preserve"> so that you can apply your new ROI knowledge to your role as a VR professional, stakeholder, </w:t>
      </w:r>
      <w:proofErr w:type="gramStart"/>
      <w:r w:rsidRPr="004B0BFA">
        <w:t>policymaker</w:t>
      </w:r>
      <w:proofErr w:type="gramEnd"/>
      <w:r w:rsidRPr="004B0BFA">
        <w:t xml:space="preserve"> or researcher!</w:t>
      </w:r>
    </w:p>
    <w:p w14:paraId="2DD91AF8" w14:textId="77777777" w:rsidR="004B0BFA" w:rsidRPr="004B0BFA" w:rsidRDefault="004B0BFA" w:rsidP="003C1F17">
      <w:pPr>
        <w:pStyle w:val="Heading2"/>
      </w:pPr>
      <w:r w:rsidRPr="004B0BFA">
        <w:t>Beginning Instructions</w:t>
      </w:r>
    </w:p>
    <w:p w14:paraId="7CEC7554" w14:textId="77777777" w:rsidR="004B0BFA" w:rsidRDefault="004B0BFA" w:rsidP="004D3B12">
      <w:r w:rsidRPr="004B0BFA">
        <w:t xml:space="preserve">The VR ROI 101 Lessons are intended to provide useful information regarding </w:t>
      </w:r>
      <w:proofErr w:type="gramStart"/>
      <w:r w:rsidRPr="004B0BFA">
        <w:t>Return on Investment</w:t>
      </w:r>
      <w:proofErr w:type="gramEnd"/>
      <w:r w:rsidRPr="004B0BFA">
        <w:t xml:space="preserve"> concepts.</w:t>
      </w:r>
    </w:p>
    <w:p w14:paraId="6B4F646A" w14:textId="77777777" w:rsidR="00521345" w:rsidRPr="004B0BFA" w:rsidRDefault="00521345" w:rsidP="004D3B12"/>
    <w:p w14:paraId="165E2489" w14:textId="77777777" w:rsidR="004B0BFA" w:rsidRPr="004B0BFA" w:rsidRDefault="004B0BFA" w:rsidP="004D3B12">
      <w:r w:rsidRPr="004B0BFA">
        <w:t xml:space="preserve">The intent is to use all three </w:t>
      </w:r>
      <w:proofErr w:type="gramStart"/>
      <w:r w:rsidRPr="004B0BFA">
        <w:t>lessons</w:t>
      </w:r>
      <w:proofErr w:type="gramEnd"/>
      <w:r w:rsidRPr="004B0BFA">
        <w:t xml:space="preserve"> </w:t>
      </w:r>
    </w:p>
    <w:p w14:paraId="34AC498D" w14:textId="77777777" w:rsidR="004B0BFA" w:rsidRPr="004B0BFA" w:rsidRDefault="004B0BFA" w:rsidP="00521345">
      <w:pPr>
        <w:pStyle w:val="ListParagraph"/>
        <w:numPr>
          <w:ilvl w:val="0"/>
          <w:numId w:val="138"/>
        </w:numPr>
      </w:pPr>
      <w:r w:rsidRPr="004B0BFA">
        <w:t xml:space="preserve">(1 – Basic Terminology, 2 – The VR ROI Project, and 3 – VR ROI applied examples) </w:t>
      </w:r>
    </w:p>
    <w:p w14:paraId="05B9D8A7" w14:textId="173F65E5" w:rsidR="004B0BFA" w:rsidRPr="004B0BFA" w:rsidRDefault="004B0BFA" w:rsidP="004D3B12">
      <w:r w:rsidRPr="004B0BFA">
        <w:lastRenderedPageBreak/>
        <w:t>to enhance your understanding of ROI and your confidence in accurately applying ROI concepts in your work setting.</w:t>
      </w:r>
    </w:p>
    <w:p w14:paraId="45B9306C" w14:textId="77777777" w:rsidR="004B0BFA" w:rsidRPr="004B0BFA" w:rsidRDefault="004B0BFA" w:rsidP="003C1F17">
      <w:pPr>
        <w:pStyle w:val="Heading2"/>
      </w:pPr>
      <w:r w:rsidRPr="004B0BFA">
        <w:t>Continuing Education Credit</w:t>
      </w:r>
    </w:p>
    <w:p w14:paraId="6C836A16" w14:textId="77777777" w:rsidR="004B0BFA" w:rsidRDefault="004B0BFA" w:rsidP="004D3B12">
      <w:r w:rsidRPr="004B0BFA">
        <w:t>You may use the VR ROI 101 Lessons to expand your knowledge of this topic and to earn continuing education credits.</w:t>
      </w:r>
    </w:p>
    <w:p w14:paraId="62940B7A" w14:textId="77777777" w:rsidR="00521345" w:rsidRPr="004B0BFA" w:rsidRDefault="00521345" w:rsidP="004D3B12"/>
    <w:p w14:paraId="0889B971" w14:textId="77777777" w:rsidR="004B0BFA" w:rsidRDefault="004B0BFA" w:rsidP="004D3B12">
      <w:r w:rsidRPr="004B0BFA">
        <w:t xml:space="preserve">When you complete all 3 ROI 101 lessons, complete the </w:t>
      </w:r>
      <w:proofErr w:type="gramStart"/>
      <w:r w:rsidRPr="004B0BFA">
        <w:t>evaluation</w:t>
      </w:r>
      <w:proofErr w:type="gramEnd"/>
      <w:r w:rsidRPr="004B0BFA">
        <w:t xml:space="preserve"> and earn 2 CRC (Certified Rehabilitation Counselor) continuing education hours.</w:t>
      </w:r>
    </w:p>
    <w:p w14:paraId="7DB85D52" w14:textId="77777777" w:rsidR="00521345" w:rsidRPr="004B0BFA" w:rsidRDefault="00521345" w:rsidP="004D3B12"/>
    <w:p w14:paraId="269BE9D0" w14:textId="77777777" w:rsidR="004B0BFA" w:rsidRDefault="004B0BFA" w:rsidP="004D3B12">
      <w:r w:rsidRPr="004B0BFA">
        <w:t>Once you complete the survey, your certificate will be available for download.</w:t>
      </w:r>
    </w:p>
    <w:p w14:paraId="66D3CC5A" w14:textId="77777777" w:rsidR="00521345" w:rsidRPr="004B0BFA" w:rsidRDefault="00521345" w:rsidP="004D3B12"/>
    <w:p w14:paraId="40255E31" w14:textId="03B30006" w:rsidR="004B0BFA" w:rsidRPr="004B0BFA" w:rsidRDefault="004B0BFA" w:rsidP="00521345">
      <w:r w:rsidRPr="004B0BFA">
        <w:t>These credits are pre-approved by the Commission on Rehabilitation Counselor Certification. You can also submit your CRC Credit Certificate for post-approved credit with other licensure or certifying bodies.</w:t>
      </w:r>
    </w:p>
    <w:p w14:paraId="749B5AB5" w14:textId="77777777" w:rsidR="004B0BFA" w:rsidRPr="004B0BFA" w:rsidRDefault="004B0BFA" w:rsidP="003C1F17">
      <w:pPr>
        <w:pStyle w:val="Heading2"/>
      </w:pPr>
      <w:r w:rsidRPr="004B0BFA">
        <w:t>Review of Lessons 1 &amp; 2</w:t>
      </w:r>
    </w:p>
    <w:p w14:paraId="06F3DAF4" w14:textId="77777777" w:rsidR="004B0BFA" w:rsidRDefault="004B0BFA" w:rsidP="004D3B12">
      <w:r w:rsidRPr="004B0BFA">
        <w:t xml:space="preserve">Lesson 1 focused on ethical considerations in using ROI data; key definitions of ROI terms; and advantages and disadvantages of various ways to report ROI. </w:t>
      </w:r>
    </w:p>
    <w:p w14:paraId="6EF5BE91" w14:textId="77777777" w:rsidR="00521345" w:rsidRPr="004B0BFA" w:rsidRDefault="00521345" w:rsidP="004D3B12"/>
    <w:p w14:paraId="5423663B" w14:textId="77777777" w:rsidR="004B0BFA" w:rsidRPr="004B0BFA" w:rsidRDefault="004B0BFA" w:rsidP="004D3B12">
      <w:r w:rsidRPr="004B0BFA">
        <w:t>Lesson 2 described the key features of the VR ROI Project approach to estimating ROI:</w:t>
      </w:r>
    </w:p>
    <w:p w14:paraId="6D15C9FC" w14:textId="77777777" w:rsidR="004B0BFA" w:rsidRPr="004B0BFA" w:rsidRDefault="004B0BFA" w:rsidP="00521345">
      <w:pPr>
        <w:pStyle w:val="ListParagraph"/>
        <w:numPr>
          <w:ilvl w:val="0"/>
          <w:numId w:val="138"/>
        </w:numPr>
      </w:pPr>
      <w:r w:rsidRPr="004B0BFA">
        <w:t xml:space="preserve">Uses </w:t>
      </w:r>
      <w:proofErr w:type="gramStart"/>
      <w:r w:rsidRPr="004B0BFA">
        <w:t>readily-available</w:t>
      </w:r>
      <w:proofErr w:type="gramEnd"/>
      <w:r w:rsidRPr="004B0BFA">
        <w:t xml:space="preserve"> administrative data</w:t>
      </w:r>
    </w:p>
    <w:p w14:paraId="77F2BF9B" w14:textId="77777777" w:rsidR="004B0BFA" w:rsidRPr="004B0BFA" w:rsidRDefault="004B0BFA" w:rsidP="00521345">
      <w:pPr>
        <w:pStyle w:val="ListParagraph"/>
        <w:numPr>
          <w:ilvl w:val="0"/>
          <w:numId w:val="138"/>
        </w:numPr>
      </w:pPr>
      <w:r w:rsidRPr="004B0BFA">
        <w:t xml:space="preserve">Estimates VR’s impact from when services </w:t>
      </w:r>
      <w:proofErr w:type="gramStart"/>
      <w:r w:rsidRPr="004B0BFA">
        <w:t>begin</w:t>
      </w:r>
      <w:proofErr w:type="gramEnd"/>
    </w:p>
    <w:p w14:paraId="36AD8F47" w14:textId="77777777" w:rsidR="004B0BFA" w:rsidRPr="004B0BFA" w:rsidRDefault="004B0BFA" w:rsidP="00521345">
      <w:pPr>
        <w:pStyle w:val="ListParagraph"/>
        <w:numPr>
          <w:ilvl w:val="0"/>
          <w:numId w:val="138"/>
        </w:numPr>
      </w:pPr>
      <w:r w:rsidRPr="004B0BFA">
        <w:t xml:space="preserve">Estimates longitudinal VR impacts on employment &amp; </w:t>
      </w:r>
      <w:proofErr w:type="gramStart"/>
      <w:r w:rsidRPr="004B0BFA">
        <w:t>earnings</w:t>
      </w:r>
      <w:proofErr w:type="gramEnd"/>
    </w:p>
    <w:p w14:paraId="3B5E54E9" w14:textId="77777777" w:rsidR="004B0BFA" w:rsidRPr="004B0BFA" w:rsidRDefault="004B0BFA" w:rsidP="00521345">
      <w:pPr>
        <w:pStyle w:val="ListParagraph"/>
        <w:numPr>
          <w:ilvl w:val="0"/>
          <w:numId w:val="138"/>
        </w:numPr>
      </w:pPr>
      <w:r w:rsidRPr="004B0BFA">
        <w:t xml:space="preserve">Examines VR’s impact for individuals with different </w:t>
      </w:r>
      <w:proofErr w:type="gramStart"/>
      <w:r w:rsidRPr="004B0BFA">
        <w:t>disabilities</w:t>
      </w:r>
      <w:proofErr w:type="gramEnd"/>
    </w:p>
    <w:p w14:paraId="2CEC3860" w14:textId="77777777" w:rsidR="004B0BFA" w:rsidRPr="004B0BFA" w:rsidRDefault="004B0BFA" w:rsidP="00521345">
      <w:pPr>
        <w:pStyle w:val="ListParagraph"/>
        <w:numPr>
          <w:ilvl w:val="0"/>
          <w:numId w:val="138"/>
        </w:numPr>
      </w:pPr>
      <w:r w:rsidRPr="004B0BFA">
        <w:t>Examines impact of specific types of VR services</w:t>
      </w:r>
    </w:p>
    <w:p w14:paraId="7D3B8A85" w14:textId="77777777" w:rsidR="004B0BFA" w:rsidRPr="004B0BFA" w:rsidRDefault="004B0BFA" w:rsidP="00521345">
      <w:pPr>
        <w:pStyle w:val="ListParagraph"/>
        <w:numPr>
          <w:ilvl w:val="0"/>
          <w:numId w:val="138"/>
        </w:numPr>
      </w:pPr>
      <w:r w:rsidRPr="004B0BFA">
        <w:t xml:space="preserve">Uses rigorous statistical </w:t>
      </w:r>
      <w:proofErr w:type="gramStart"/>
      <w:r w:rsidRPr="004B0BFA">
        <w:t>model</w:t>
      </w:r>
      <w:proofErr w:type="gramEnd"/>
    </w:p>
    <w:p w14:paraId="703E13BD" w14:textId="77777777" w:rsidR="004B0BFA" w:rsidRDefault="004B0BFA" w:rsidP="00521345">
      <w:pPr>
        <w:pStyle w:val="ListParagraph"/>
        <w:numPr>
          <w:ilvl w:val="0"/>
          <w:numId w:val="138"/>
        </w:numPr>
      </w:pPr>
      <w:r w:rsidRPr="004B0BFA">
        <w:t xml:space="preserve">Estimates both service costs and VR impacts at the individual </w:t>
      </w:r>
      <w:proofErr w:type="gramStart"/>
      <w:r w:rsidRPr="004B0BFA">
        <w:t>level</w:t>
      </w:r>
      <w:proofErr w:type="gramEnd"/>
    </w:p>
    <w:p w14:paraId="6A7E220E" w14:textId="77777777" w:rsidR="00521345" w:rsidRPr="004B0BFA" w:rsidRDefault="00521345" w:rsidP="00521345">
      <w:pPr>
        <w:pStyle w:val="ListParagraph"/>
      </w:pPr>
    </w:p>
    <w:p w14:paraId="3AD63F6A" w14:textId="51E74F7B" w:rsidR="004B0BFA" w:rsidRPr="004B0BFA" w:rsidRDefault="004B0BFA" w:rsidP="004D3B12">
      <w:r w:rsidRPr="004B0BFA">
        <w:t xml:space="preserve">The following examples illustrate many of these key </w:t>
      </w:r>
      <w:proofErr w:type="gramStart"/>
      <w:r w:rsidRPr="004B0BFA">
        <w:t>features</w:t>
      </w:r>
      <w:proofErr w:type="gramEnd"/>
    </w:p>
    <w:p w14:paraId="18A88572" w14:textId="4A29A13E" w:rsidR="004B0BFA" w:rsidRPr="00521345" w:rsidRDefault="004B0BFA" w:rsidP="003C1F17">
      <w:pPr>
        <w:pStyle w:val="Heading2"/>
      </w:pPr>
      <w:r w:rsidRPr="004B0BFA">
        <w:lastRenderedPageBreak/>
        <w:t>Applied Examples to Illustrate Features of the VR ROI Model</w:t>
      </w:r>
    </w:p>
    <w:p w14:paraId="1414280E" w14:textId="77777777" w:rsidR="004B0BFA" w:rsidRPr="004B0BFA" w:rsidRDefault="004B0BFA" w:rsidP="003C1F17">
      <w:pPr>
        <w:pStyle w:val="Heading2"/>
      </w:pPr>
      <w:r w:rsidRPr="004B0BFA">
        <w:t>VR ROI Feature # 3 (1 of 4): Estimate Longitudinal VR Impacts</w:t>
      </w:r>
    </w:p>
    <w:p w14:paraId="6451590E" w14:textId="77777777" w:rsidR="004B0BFA" w:rsidRDefault="004B0BFA" w:rsidP="004D3B12">
      <w:r w:rsidRPr="004B0BFA">
        <w:t xml:space="preserve">Recall from Lesson 2 that the VR ROI project uses up to 3 years of pre-VR employment &amp; earnings and at least 5 years of post-application </w:t>
      </w:r>
      <w:proofErr w:type="gramStart"/>
      <w:r w:rsidRPr="004B0BFA">
        <w:t>data</w:t>
      </w:r>
      <w:proofErr w:type="gramEnd"/>
    </w:p>
    <w:p w14:paraId="6964ECC5" w14:textId="77777777" w:rsidR="00CB0D49" w:rsidRPr="004B0BFA" w:rsidRDefault="00CB0D49" w:rsidP="004D3B12"/>
    <w:p w14:paraId="1FD2623A" w14:textId="77777777" w:rsidR="004B0BFA" w:rsidRDefault="004B0BFA" w:rsidP="004D3B12">
      <w:r w:rsidRPr="004B0BFA">
        <w:t>To illustrate the importance of such longitudinal earnings, the next two slides display the earnings impact of a 1988 pilot demonstration for transitioning youth, PERT.</w:t>
      </w:r>
    </w:p>
    <w:p w14:paraId="1A92B0C4" w14:textId="77777777" w:rsidR="00CB0D49" w:rsidRPr="004B0BFA" w:rsidRDefault="00CB0D49" w:rsidP="004D3B12"/>
    <w:p w14:paraId="0E672E95" w14:textId="76B28AD6" w:rsidR="004B0BFA" w:rsidRPr="004B0BFA" w:rsidRDefault="004B0BFA" w:rsidP="00CB0D49">
      <w:r w:rsidRPr="004B0BFA">
        <w:t>Additional information about PERT and its evaluation can be found in citations included at the end of this presentation.</w:t>
      </w:r>
    </w:p>
    <w:p w14:paraId="2772C267" w14:textId="77777777" w:rsidR="004B0BFA" w:rsidRPr="004B0BFA" w:rsidRDefault="004B0BFA" w:rsidP="003C1F17">
      <w:pPr>
        <w:pStyle w:val="Heading2"/>
      </w:pPr>
      <w:r w:rsidRPr="004B0BFA">
        <w:t>VR ROI Feature # 3 (2 of 4): Estimate Longitudinal VR Impacts</w:t>
      </w:r>
    </w:p>
    <w:p w14:paraId="7898ACB3" w14:textId="77777777" w:rsidR="004B0BFA" w:rsidRDefault="004B0BFA" w:rsidP="004D3B12">
      <w:r w:rsidRPr="004B0BFA">
        <w:t>PERT (Postsecondary Education Rehabilitation and Transition) is a collaborative effort between the Virginia’s VR agency, Wilson Workforce Rehabilitation Center (WWRC), and the Department of Education.</w:t>
      </w:r>
    </w:p>
    <w:p w14:paraId="232F3C5A" w14:textId="77777777" w:rsidR="00CB0D49" w:rsidRPr="004B0BFA" w:rsidRDefault="00CB0D49" w:rsidP="004D3B12"/>
    <w:p w14:paraId="14265394" w14:textId="77777777" w:rsidR="004B0BFA" w:rsidRDefault="004B0BFA" w:rsidP="004D3B12">
      <w:r w:rsidRPr="004B0BFA">
        <w:t>It’s for high school students with disabilities who are selected by local school divisions.</w:t>
      </w:r>
    </w:p>
    <w:p w14:paraId="73C47ED4" w14:textId="77777777" w:rsidR="006F50A8" w:rsidRPr="004B0BFA" w:rsidRDefault="006F50A8" w:rsidP="004D3B12"/>
    <w:p w14:paraId="1D6114AF" w14:textId="77777777" w:rsidR="004B0BFA" w:rsidRDefault="004B0BFA" w:rsidP="004D3B12">
      <w:r w:rsidRPr="004B0BFA">
        <w:t xml:space="preserve">PERT provides a 12-day, in-residence, comprehensive </w:t>
      </w:r>
      <w:proofErr w:type="gramStart"/>
      <w:r w:rsidRPr="004B0BFA">
        <w:t>career</w:t>
      </w:r>
      <w:proofErr w:type="gramEnd"/>
      <w:r w:rsidRPr="004B0BFA">
        <w:t xml:space="preserve"> and independent living skills assessments assessment at WWRC.</w:t>
      </w:r>
    </w:p>
    <w:p w14:paraId="1A4413B8" w14:textId="77777777" w:rsidR="00CB0D49" w:rsidRPr="004B0BFA" w:rsidRDefault="00CB0D49" w:rsidP="004D3B12"/>
    <w:p w14:paraId="30632EBA" w14:textId="77777777" w:rsidR="004B0BFA" w:rsidRDefault="004B0BFA" w:rsidP="004D3B12">
      <w:r w:rsidRPr="004B0BFA">
        <w:t>A follow-up report is shared with the student and family, the VR agency, and the school.</w:t>
      </w:r>
    </w:p>
    <w:p w14:paraId="03C33B81" w14:textId="77777777" w:rsidR="00CB0D49" w:rsidRPr="004B0BFA" w:rsidRDefault="00CB0D49" w:rsidP="004D3B12"/>
    <w:p w14:paraId="0E18D679" w14:textId="5BFCAAEF" w:rsidR="004B0BFA" w:rsidRPr="004B0BFA" w:rsidRDefault="004B0BFA" w:rsidP="00CB0D49">
      <w:r w:rsidRPr="004B0BFA">
        <w:t>The report is implemented during remaining high school years and the student might receive subsequent VR services.</w:t>
      </w:r>
    </w:p>
    <w:p w14:paraId="69E8A291" w14:textId="77777777" w:rsidR="004B0BFA" w:rsidRPr="004B0BFA" w:rsidRDefault="004B0BFA" w:rsidP="003C1F17">
      <w:pPr>
        <w:pStyle w:val="Heading2"/>
      </w:pPr>
      <w:r w:rsidRPr="004B0BFA">
        <w:t>VR ROI Feature # 3 (3 of 4): Estimate Longitudinal VR Impacts</w:t>
      </w:r>
    </w:p>
    <w:p w14:paraId="3189008B" w14:textId="77777777" w:rsidR="003F0330" w:rsidRDefault="003F0330" w:rsidP="004D3B12">
      <w:pPr>
        <w:sectPr w:rsidR="003F0330" w:rsidSect="009A7E24">
          <w:type w:val="continuous"/>
          <w:pgSz w:w="12240" w:h="15840"/>
          <w:pgMar w:top="720" w:right="1008" w:bottom="810" w:left="1080" w:header="720" w:footer="720" w:gutter="0"/>
          <w:cols w:space="720"/>
          <w:noEndnote/>
        </w:sectPr>
      </w:pPr>
    </w:p>
    <w:p w14:paraId="1CB180E0" w14:textId="77777777" w:rsidR="004B0BFA" w:rsidRPr="004B0BFA" w:rsidRDefault="004B0BFA" w:rsidP="004D3B12">
      <w:r w:rsidRPr="004B0BFA">
        <w:lastRenderedPageBreak/>
        <w:t xml:space="preserve">Chart 1 to the right represents earnings during the Year of PERT and Non-PERT </w:t>
      </w:r>
      <w:proofErr w:type="gramStart"/>
      <w:r w:rsidRPr="004B0BFA">
        <w:t>participants</w:t>
      </w:r>
      <w:proofErr w:type="gramEnd"/>
    </w:p>
    <w:p w14:paraId="60A9CFF0" w14:textId="77777777" w:rsidR="004B0BFA" w:rsidRDefault="004B0BFA" w:rsidP="004D3B12">
      <w:r w:rsidRPr="004B0BFA">
        <w:t>The vertical axis of the chart represents the Mean Earnings in Dollars for 2002.</w:t>
      </w:r>
    </w:p>
    <w:p w14:paraId="525AF469" w14:textId="77777777" w:rsidR="00CB0D49" w:rsidRPr="004B0BFA" w:rsidRDefault="00CB0D49" w:rsidP="004D3B12"/>
    <w:p w14:paraId="6D9B1DB9" w14:textId="77777777" w:rsidR="004B0BFA" w:rsidRDefault="004B0BFA" w:rsidP="004D3B12">
      <w:r w:rsidRPr="004B0BFA">
        <w:t>The horizontal axis of the chart represents the Year relative to the time of application for VR services, plus or minus year(s) relative to FY 1988</w:t>
      </w:r>
    </w:p>
    <w:p w14:paraId="0FF256B2" w14:textId="77777777" w:rsidR="00CB0D49" w:rsidRPr="004B0BFA" w:rsidRDefault="00CB0D49" w:rsidP="004D3B12"/>
    <w:p w14:paraId="72D045DA" w14:textId="77777777" w:rsidR="004B0BFA" w:rsidRDefault="004B0BFA" w:rsidP="004D3B12">
      <w:r w:rsidRPr="004B0BFA">
        <w:t>This chart illustrates the importance of longitudinal earnings for transitioning youth as well as human capital services. (Source: Ashley et al., 2006)</w:t>
      </w:r>
    </w:p>
    <w:p w14:paraId="540C3377" w14:textId="77777777" w:rsidR="006F50A8" w:rsidRPr="004B0BFA" w:rsidRDefault="006F50A8" w:rsidP="004D3B12"/>
    <w:p w14:paraId="3B14C1F1" w14:textId="4884EC10" w:rsidR="004B0BFA" w:rsidRPr="004B0BFA" w:rsidRDefault="003F0330" w:rsidP="003F0330">
      <w:pPr>
        <w:spacing w:after="120" w:line="240" w:lineRule="auto"/>
        <w:rPr>
          <w:b/>
          <w:bCs/>
          <w:sz w:val="40"/>
          <w:szCs w:val="32"/>
        </w:rPr>
      </w:pPr>
      <w:r w:rsidRPr="003F0330">
        <w:rPr>
          <w:b/>
          <w:bCs/>
          <w:sz w:val="40"/>
          <w:szCs w:val="32"/>
        </w:rPr>
        <w:drawing>
          <wp:inline distT="0" distB="0" distL="0" distR="0" wp14:anchorId="2E60F1FD" wp14:editId="64276C34">
            <wp:extent cx="2889115" cy="2083827"/>
            <wp:effectExtent l="0" t="0" r="6985" b="0"/>
            <wp:docPr id="6" name="Picture 5" descr="Over time the non-PERT and PERT have both gone up to $12,000 and $$15,000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Over time the non-PERT and PERT have both gone up to $12,000 and $$15,000 respectively."/>
                    <pic:cNvPicPr>
                      <a:picLocks noChangeAspect="1"/>
                    </pic:cNvPicPr>
                  </pic:nvPicPr>
                  <pic:blipFill>
                    <a:blip r:embed="rId9"/>
                    <a:stretch>
                      <a:fillRect/>
                    </a:stretch>
                  </pic:blipFill>
                  <pic:spPr>
                    <a:xfrm>
                      <a:off x="0" y="0"/>
                      <a:ext cx="2897226" cy="2089677"/>
                    </a:xfrm>
                    <a:prstGeom prst="rect">
                      <a:avLst/>
                    </a:prstGeom>
                  </pic:spPr>
                </pic:pic>
              </a:graphicData>
            </a:graphic>
          </wp:inline>
        </w:drawing>
      </w:r>
    </w:p>
    <w:p w14:paraId="6FE68FFD" w14:textId="77777777" w:rsidR="003F0330" w:rsidRDefault="003F0330" w:rsidP="003C1F17">
      <w:pPr>
        <w:pStyle w:val="Heading2"/>
        <w:sectPr w:rsidR="003F0330" w:rsidSect="009A7E24">
          <w:type w:val="continuous"/>
          <w:pgSz w:w="12240" w:h="15840"/>
          <w:pgMar w:top="720" w:right="1008" w:bottom="810" w:left="1080" w:header="720" w:footer="720" w:gutter="0"/>
          <w:cols w:space="720"/>
          <w:noEndnote/>
        </w:sectPr>
      </w:pPr>
    </w:p>
    <w:p w14:paraId="26611D3C" w14:textId="77777777" w:rsidR="004B0BFA" w:rsidRPr="004B0BFA" w:rsidRDefault="004B0BFA" w:rsidP="003C1F17">
      <w:pPr>
        <w:pStyle w:val="Heading2"/>
      </w:pPr>
      <w:r w:rsidRPr="004B0BFA">
        <w:t>VR ROI Feature # 3 (4 of 4): Estimate Longitudinal VR Impacts</w:t>
      </w:r>
    </w:p>
    <w:p w14:paraId="319FB1B6" w14:textId="77777777" w:rsidR="001762F8" w:rsidRDefault="001762F8" w:rsidP="004D3B12">
      <w:pPr>
        <w:sectPr w:rsidR="001762F8" w:rsidSect="009A7E24">
          <w:type w:val="continuous"/>
          <w:pgSz w:w="12240" w:h="15840"/>
          <w:pgMar w:top="720" w:right="1008" w:bottom="810" w:left="1080" w:header="720" w:footer="720" w:gutter="0"/>
          <w:cols w:space="720"/>
          <w:noEndnote/>
        </w:sectPr>
      </w:pPr>
    </w:p>
    <w:p w14:paraId="76AB42BD" w14:textId="77777777" w:rsidR="004B0BFA" w:rsidRDefault="004B0BFA" w:rsidP="004D3B12">
      <w:r w:rsidRPr="004B0BFA">
        <w:t xml:space="preserve">PERT clients come into the program with lower average </w:t>
      </w:r>
      <w:proofErr w:type="gramStart"/>
      <w:r w:rsidRPr="004B0BFA">
        <w:t>earnings</w:t>
      </w:r>
      <w:proofErr w:type="gramEnd"/>
    </w:p>
    <w:p w14:paraId="455A3B3F" w14:textId="77777777" w:rsidR="001762F8" w:rsidRPr="004B0BFA" w:rsidRDefault="001762F8" w:rsidP="004D3B12"/>
    <w:p w14:paraId="232C327D" w14:textId="77777777" w:rsidR="004B0BFA" w:rsidRDefault="004B0BFA" w:rsidP="004D3B12">
      <w:r w:rsidRPr="004B0BFA">
        <w:t xml:space="preserve">This continues for four years after the 12-day assessment as PERT </w:t>
      </w:r>
      <w:proofErr w:type="gramStart"/>
      <w:r w:rsidRPr="004B0BFA">
        <w:t>clients</w:t>
      </w:r>
      <w:proofErr w:type="gramEnd"/>
      <w:r w:rsidRPr="004B0BFA">
        <w:t xml:space="preserve"> complete high school and, possibly, additional training and VR Services.</w:t>
      </w:r>
    </w:p>
    <w:p w14:paraId="30031DC2" w14:textId="77777777" w:rsidR="001762F8" w:rsidRPr="004B0BFA" w:rsidRDefault="001762F8" w:rsidP="004D3B12"/>
    <w:p w14:paraId="7199B98D" w14:textId="77777777" w:rsidR="004B0BFA" w:rsidRPr="004B0BFA" w:rsidRDefault="004B0BFA" w:rsidP="004D3B12">
      <w:r w:rsidRPr="004B0BFA">
        <w:t xml:space="preserve">In the fifth year, that changes as PERT clients earn more and that gap increases over the next several </w:t>
      </w:r>
      <w:proofErr w:type="gramStart"/>
      <w:r w:rsidRPr="004B0BFA">
        <w:t>year</w:t>
      </w:r>
      <w:proofErr w:type="gramEnd"/>
      <w:r w:rsidRPr="004B0BFA">
        <w:t>.</w:t>
      </w:r>
    </w:p>
    <w:p w14:paraId="317055C0" w14:textId="377C9D64" w:rsidR="004B0BFA" w:rsidRPr="004B0BFA" w:rsidRDefault="001762F8" w:rsidP="004B0BFA">
      <w:pPr>
        <w:spacing w:after="120" w:line="264" w:lineRule="auto"/>
        <w:rPr>
          <w:b/>
          <w:bCs/>
          <w:sz w:val="40"/>
          <w:szCs w:val="32"/>
        </w:rPr>
      </w:pPr>
      <w:r w:rsidRPr="001762F8">
        <w:rPr>
          <w:b/>
          <w:bCs/>
          <w:sz w:val="40"/>
          <w:szCs w:val="32"/>
        </w:rPr>
        <w:drawing>
          <wp:inline distT="0" distB="0" distL="0" distR="0" wp14:anchorId="42AEE83C" wp14:editId="26E2EF69">
            <wp:extent cx="3485866" cy="2514244"/>
            <wp:effectExtent l="0" t="0" r="635" b="635"/>
            <wp:docPr id="109116949" name="Picture 5" descr="Over time the non-PERT and PERT have both gone up to $12,000 and $$15,000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Over time the non-PERT and PERT have both gone up to $12,000 and $$15,000 respectively."/>
                    <pic:cNvPicPr>
                      <a:picLocks noChangeAspect="1"/>
                    </pic:cNvPicPr>
                  </pic:nvPicPr>
                  <pic:blipFill>
                    <a:blip r:embed="rId9"/>
                    <a:stretch>
                      <a:fillRect/>
                    </a:stretch>
                  </pic:blipFill>
                  <pic:spPr>
                    <a:xfrm>
                      <a:off x="0" y="0"/>
                      <a:ext cx="3499760" cy="2524265"/>
                    </a:xfrm>
                    <a:prstGeom prst="rect">
                      <a:avLst/>
                    </a:prstGeom>
                  </pic:spPr>
                </pic:pic>
              </a:graphicData>
            </a:graphic>
          </wp:inline>
        </w:drawing>
      </w:r>
    </w:p>
    <w:p w14:paraId="56715414" w14:textId="77777777" w:rsidR="001762F8" w:rsidRDefault="001762F8" w:rsidP="004B0BFA">
      <w:pPr>
        <w:spacing w:after="120" w:line="264" w:lineRule="auto"/>
        <w:rPr>
          <w:b/>
          <w:bCs/>
          <w:sz w:val="40"/>
          <w:szCs w:val="32"/>
        </w:rPr>
        <w:sectPr w:rsidR="001762F8" w:rsidSect="009A7E24">
          <w:type w:val="continuous"/>
          <w:pgSz w:w="12240" w:h="15840"/>
          <w:pgMar w:top="720" w:right="1008" w:bottom="810" w:left="1080" w:header="720" w:footer="720" w:gutter="0"/>
          <w:cols w:num="2" w:space="720"/>
          <w:noEndnote/>
        </w:sectPr>
      </w:pPr>
    </w:p>
    <w:p w14:paraId="3D968695" w14:textId="77777777" w:rsidR="004B0BFA" w:rsidRPr="004B0BFA" w:rsidRDefault="004B0BFA" w:rsidP="003C1F17">
      <w:pPr>
        <w:pStyle w:val="Heading2"/>
      </w:pPr>
      <w:r w:rsidRPr="004B0BFA">
        <w:lastRenderedPageBreak/>
        <w:t>VR ROI Features # 4 &amp; 5 (1 of 3):  Estimated Impacts by Service &amp; Disabling Condition</w:t>
      </w:r>
    </w:p>
    <w:p w14:paraId="52B5E82E" w14:textId="77777777" w:rsidR="004B0BFA" w:rsidRPr="004B0BFA" w:rsidRDefault="004B0BFA" w:rsidP="004D3B12">
      <w:r w:rsidRPr="004B0BFA">
        <w:t>To illustrate the importance of accounting for disabling conditions (key feature #4) and service types (key feature #5), the following slides discuss employment and earnings impacts as estimated from the VR ROI model for a cohort of individuals applying to Virginia DARS during State Fiscal Year 2000:</w:t>
      </w:r>
    </w:p>
    <w:p w14:paraId="279915B0" w14:textId="77777777" w:rsidR="004B0BFA" w:rsidRPr="004B0BFA" w:rsidRDefault="004B0BFA" w:rsidP="005E20D0">
      <w:pPr>
        <w:pStyle w:val="ListParagraph"/>
        <w:numPr>
          <w:ilvl w:val="0"/>
          <w:numId w:val="139"/>
        </w:numPr>
      </w:pPr>
      <w:r w:rsidRPr="004B0BFA">
        <w:t>For each of 3 separate disability types (one slide with charts and a second with discussion of the charts)</w:t>
      </w:r>
    </w:p>
    <w:p w14:paraId="36E1C6C6" w14:textId="77777777" w:rsidR="004B0BFA" w:rsidRPr="004B0BFA" w:rsidRDefault="004B0BFA" w:rsidP="005E20D0">
      <w:pPr>
        <w:pStyle w:val="ListParagraph"/>
        <w:numPr>
          <w:ilvl w:val="0"/>
          <w:numId w:val="139"/>
        </w:numPr>
      </w:pPr>
      <w:r w:rsidRPr="004B0BFA">
        <w:t>For 6 separate types of service, DTERMO (using an earlier service categorization where O represents “Other”)</w:t>
      </w:r>
    </w:p>
    <w:p w14:paraId="45B6CD50" w14:textId="223072FA" w:rsidR="004B0BFA" w:rsidRPr="004B0BFA" w:rsidRDefault="004B0BFA" w:rsidP="005E20D0">
      <w:pPr>
        <w:pStyle w:val="ListParagraph"/>
        <w:numPr>
          <w:ilvl w:val="0"/>
          <w:numId w:val="139"/>
        </w:numPr>
      </w:pPr>
      <w:r w:rsidRPr="004B0BFA">
        <w:t>For the first 2 years following application (short run) and more than 2 years following application (long run)</w:t>
      </w:r>
    </w:p>
    <w:p w14:paraId="10EF535A" w14:textId="77777777" w:rsidR="004B0BFA" w:rsidRPr="004B0BFA" w:rsidRDefault="004B0BFA" w:rsidP="003C1F17">
      <w:pPr>
        <w:pStyle w:val="Heading2"/>
      </w:pPr>
      <w:r w:rsidRPr="004B0BFA">
        <w:t>VR ROI Features # 4 &amp; 5 (2 of 3): Estimated Impacts by Service &amp; Disabling Condition</w:t>
      </w:r>
    </w:p>
    <w:p w14:paraId="485D5CA4" w14:textId="77777777" w:rsidR="004B0BFA" w:rsidRPr="004B0BFA" w:rsidRDefault="004B0BFA" w:rsidP="004D3B12">
      <w:r w:rsidRPr="004B0BFA">
        <w:t>General notes on interpretation</w:t>
      </w:r>
    </w:p>
    <w:p w14:paraId="40B7DB37" w14:textId="77777777" w:rsidR="004B0BFA" w:rsidRPr="004B0BFA" w:rsidRDefault="004B0BFA" w:rsidP="005E20D0">
      <w:pPr>
        <w:pStyle w:val="ListParagraph"/>
        <w:numPr>
          <w:ilvl w:val="0"/>
          <w:numId w:val="140"/>
        </w:numPr>
      </w:pPr>
      <w:r w:rsidRPr="004B0BFA">
        <w:t>Although these slides illustrate key features 4 &amp; 5, the results were estimated through the VR ROI model which includes all 7 features.</w:t>
      </w:r>
    </w:p>
    <w:p w14:paraId="6861AC70" w14:textId="77777777" w:rsidR="004B0BFA" w:rsidRPr="004B0BFA" w:rsidRDefault="004B0BFA" w:rsidP="005E20D0">
      <w:pPr>
        <w:pStyle w:val="ListParagraph"/>
        <w:numPr>
          <w:ilvl w:val="0"/>
          <w:numId w:val="140"/>
        </w:numPr>
      </w:pPr>
      <w:r w:rsidRPr="004B0BFA">
        <w:t xml:space="preserve">Labor market impacts are relative to a comparable individual who did not receive the service (after “holding other factors constant”). </w:t>
      </w:r>
    </w:p>
    <w:p w14:paraId="06212E44" w14:textId="77777777" w:rsidR="004B0BFA" w:rsidRDefault="004B0BFA" w:rsidP="005E20D0">
      <w:pPr>
        <w:pStyle w:val="ListParagraph"/>
        <w:numPr>
          <w:ilvl w:val="0"/>
          <w:numId w:val="140"/>
        </w:numPr>
      </w:pPr>
      <w:r w:rsidRPr="004B0BFA">
        <w:t>Labor market impacts are measured as changes from the two years prior to application. This adds another level of control for individual traits affecting labor market success that are not among those included in the model (e.g., demographics, education, etc.). Economists refer to these as “unobservable variables” (e.g., work ethic, family support).</w:t>
      </w:r>
    </w:p>
    <w:p w14:paraId="11A81FEF" w14:textId="77777777" w:rsidR="005E20D0" w:rsidRPr="004B0BFA" w:rsidRDefault="005E20D0" w:rsidP="005E20D0">
      <w:pPr>
        <w:pStyle w:val="ListParagraph"/>
      </w:pPr>
    </w:p>
    <w:p w14:paraId="41F8978E" w14:textId="77777777" w:rsidR="004B0BFA" w:rsidRPr="004B0BFA" w:rsidRDefault="004B0BFA" w:rsidP="004D3B12">
      <w:r w:rsidRPr="004B0BFA">
        <w:t>Interpreting a couple of hypothetical results:</w:t>
      </w:r>
    </w:p>
    <w:p w14:paraId="78DB0CE8" w14:textId="77777777" w:rsidR="004B0BFA" w:rsidRPr="004B0BFA" w:rsidRDefault="004B0BFA" w:rsidP="005E20D0">
      <w:pPr>
        <w:pStyle w:val="ListParagraph"/>
        <w:numPr>
          <w:ilvl w:val="0"/>
          <w:numId w:val="140"/>
        </w:numPr>
      </w:pPr>
      <w:r w:rsidRPr="004B0BFA">
        <w:t xml:space="preserve">0.1 for employment: If 10% of non-recipients were employed, then 20% of individuals of those receiving the service would be employed. </w:t>
      </w:r>
    </w:p>
    <w:p w14:paraId="20F7378E" w14:textId="7B49BFAF" w:rsidR="004B0BFA" w:rsidRPr="005E20D0" w:rsidRDefault="004B0BFA" w:rsidP="005E20D0">
      <w:pPr>
        <w:pStyle w:val="ListParagraph"/>
        <w:numPr>
          <w:ilvl w:val="0"/>
          <w:numId w:val="140"/>
        </w:numPr>
      </w:pPr>
      <w:r w:rsidRPr="004B0BFA">
        <w:t>0.1 for earnings: Once employed, those receiving the service have 10% higher earnings than those who did not.</w:t>
      </w:r>
    </w:p>
    <w:p w14:paraId="471AFE14" w14:textId="77777777" w:rsidR="004B0BFA" w:rsidRPr="004B0BFA" w:rsidRDefault="004B0BFA" w:rsidP="003C1F17">
      <w:pPr>
        <w:pStyle w:val="Heading2"/>
      </w:pPr>
      <w:r w:rsidRPr="004B0BFA">
        <w:lastRenderedPageBreak/>
        <w:t>VR ROI Features # 4 &amp; 5 (3 of 3): Estimated Impacts by Service &amp; Disabling Condition</w:t>
      </w:r>
    </w:p>
    <w:p w14:paraId="719227A5" w14:textId="77777777" w:rsidR="004B0BFA" w:rsidRPr="004B0BFA" w:rsidRDefault="004B0BFA" w:rsidP="004D3B12">
      <w:r w:rsidRPr="004B0BFA">
        <w:t>General notes on interpretation (cont’d)</w:t>
      </w:r>
    </w:p>
    <w:p w14:paraId="0F07D1BE" w14:textId="77777777" w:rsidR="004B0BFA" w:rsidRPr="004B0BFA" w:rsidRDefault="004B0BFA" w:rsidP="007C5058">
      <w:pPr>
        <w:pStyle w:val="ListParagraph"/>
        <w:numPr>
          <w:ilvl w:val="0"/>
          <w:numId w:val="141"/>
        </w:numPr>
      </w:pPr>
      <w:r w:rsidRPr="004B0BFA">
        <w:t xml:space="preserve">Model allows for the receipt of any combination of services, including </w:t>
      </w:r>
      <w:proofErr w:type="gramStart"/>
      <w:r w:rsidRPr="004B0BFA">
        <w:t>none at all</w:t>
      </w:r>
      <w:proofErr w:type="gramEnd"/>
      <w:r w:rsidRPr="004B0BFA">
        <w:t>.</w:t>
      </w:r>
    </w:p>
    <w:p w14:paraId="3A060F9C" w14:textId="77777777" w:rsidR="004B0BFA" w:rsidRPr="004B0BFA" w:rsidRDefault="004B0BFA" w:rsidP="007C5058">
      <w:pPr>
        <w:pStyle w:val="ListParagraph"/>
        <w:numPr>
          <w:ilvl w:val="1"/>
          <w:numId w:val="141"/>
        </w:numPr>
        <w:ind w:left="1080"/>
      </w:pPr>
      <w:r w:rsidRPr="004B0BFA">
        <w:t>An individual is in the “treatment” group for those services received and in the “comparison” group for those not received. This is a powerful statistical feature.</w:t>
      </w:r>
    </w:p>
    <w:p w14:paraId="1591A63F" w14:textId="77777777" w:rsidR="004B0BFA" w:rsidRPr="004B0BFA" w:rsidRDefault="004B0BFA" w:rsidP="007C5058">
      <w:pPr>
        <w:pStyle w:val="ListParagraph"/>
        <w:numPr>
          <w:ilvl w:val="0"/>
          <w:numId w:val="141"/>
        </w:numPr>
      </w:pPr>
      <w:r w:rsidRPr="004B0BFA">
        <w:t>Short run (SR) is defined as within two years of application, a period during which 75% of cases are closed. Thus, the SR might be thought of as the period of service receipt by some individuals and the LR as predominantly post-service.</w:t>
      </w:r>
    </w:p>
    <w:p w14:paraId="0FA378CF" w14:textId="77777777" w:rsidR="004B0BFA" w:rsidRPr="004B0BFA" w:rsidRDefault="004B0BFA" w:rsidP="007C5058">
      <w:pPr>
        <w:pStyle w:val="ListParagraph"/>
        <w:numPr>
          <w:ilvl w:val="1"/>
          <w:numId w:val="141"/>
        </w:numPr>
        <w:ind w:left="1080"/>
      </w:pPr>
      <w:r w:rsidRPr="004B0BFA">
        <w:t xml:space="preserve">Different patterns of SR and LR market impacts are observed for each disabling condition. </w:t>
      </w:r>
    </w:p>
    <w:p w14:paraId="78A2937D" w14:textId="395D4578" w:rsidR="004B0BFA" w:rsidRPr="007C5058" w:rsidRDefault="004B0BFA" w:rsidP="007C5058">
      <w:pPr>
        <w:pStyle w:val="ListParagraph"/>
        <w:numPr>
          <w:ilvl w:val="1"/>
          <w:numId w:val="141"/>
        </w:numPr>
        <w:ind w:left="1080"/>
      </w:pPr>
      <w:r w:rsidRPr="004B0BFA">
        <w:t>Unsurprisingly, the largest differences are for human capital development such as Education and Training.</w:t>
      </w:r>
    </w:p>
    <w:p w14:paraId="100110DC" w14:textId="77777777" w:rsidR="004B0BFA" w:rsidRPr="004B0BFA" w:rsidRDefault="004B0BFA" w:rsidP="003C1F17">
      <w:pPr>
        <w:pStyle w:val="Heading2"/>
      </w:pPr>
      <w:r w:rsidRPr="004B0BFA">
        <w:t>Service Effects on Labor Market Outcomes for People with Mental Illness (1 of 4) (DARS SFY 2000 Applicants)</w:t>
      </w:r>
    </w:p>
    <w:p w14:paraId="223FF664" w14:textId="666C91AF" w:rsidR="0070639D" w:rsidRDefault="0070639D" w:rsidP="004B0BFA">
      <w:pPr>
        <w:spacing w:after="120" w:line="264" w:lineRule="auto"/>
      </w:pPr>
      <w:r w:rsidRPr="0070639D">
        <w:drawing>
          <wp:inline distT="0" distB="0" distL="0" distR="0" wp14:anchorId="6AF751A1" wp14:editId="4DF8BED0">
            <wp:extent cx="2898842" cy="2422772"/>
            <wp:effectExtent l="0" t="0" r="15875" b="15875"/>
            <wp:docPr id="984166773" name="Chart 1" descr="Short-Run (SR) Effects&#10;Diag:&#10;employment = -0.091&#10;Earnings = -0.085&#10;Train&#10;employment = 0.252&#10;Earnings = -0.055&#10;Educ&#10;employment = -0.120&#10;Earnings = -0.085&#10;Rstr&#10;employment =0.007&#10;Earnings = 0.092&#10;Maint&#10;employment = -0.065&#10;Earnings = 0.106&#10;Other&#10;employment =0.051&#10;Earnings = 0.0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70639D">
        <w:rPr>
          <w:noProof/>
        </w:rPr>
        <w:t xml:space="preserve"> </w:t>
      </w:r>
      <w:r w:rsidRPr="0070639D">
        <w:drawing>
          <wp:inline distT="0" distB="0" distL="0" distR="0" wp14:anchorId="6AB1CC51" wp14:editId="42AF0CAF">
            <wp:extent cx="2898775" cy="2422716"/>
            <wp:effectExtent l="0" t="0" r="15875" b="15875"/>
            <wp:docPr id="1861955346" name="Chart 1" descr="Long-Run (LR) Effects&#10;Diag:&#10;employment = -0.185&#10;Earnings = 0.032&#10;Train&#10;employment =0.216&#10;Earnings = 0.136&#10;Educ&#10;employment = -0.045&#10;Earnings = 0.146&#10;Rstr&#10;employment = -0.051&#10;Earnings = 0.206&#10;Maint&#10;employment = -0.030&#10;Earnings = 0.217&#10;Other&#10;employment = 0.020&#10;Earnings = 0.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CE4E0E3" w14:textId="79E15A3F" w:rsidR="005A39FD" w:rsidRDefault="004B0BFA" w:rsidP="004B0BFA">
      <w:pPr>
        <w:spacing w:after="120" w:line="264" w:lineRule="auto"/>
      </w:pPr>
      <w:r w:rsidRPr="004B0BFA">
        <w:t xml:space="preserve">Note:  Vertical axis shows change in employment rate or proportionate change in earnings (if employed). Horizontal axis shows different service </w:t>
      </w:r>
      <w:proofErr w:type="gramStart"/>
      <w:r w:rsidRPr="004B0BFA">
        <w:t>types</w:t>
      </w:r>
      <w:proofErr w:type="gramEnd"/>
    </w:p>
    <w:p w14:paraId="1E5A9E69" w14:textId="77777777" w:rsidR="005A39FD" w:rsidRPr="004B0BFA" w:rsidRDefault="005A39FD" w:rsidP="005A39FD">
      <w:pPr>
        <w:pStyle w:val="Heading2"/>
      </w:pPr>
      <w:r w:rsidRPr="004B0BFA">
        <w:t>Service Effects on Labor Market Outcomes for People with Mental Illness (2 of 4) (DARS SFY 2000 Applicants)</w:t>
      </w:r>
    </w:p>
    <w:p w14:paraId="157BE954" w14:textId="77777777" w:rsidR="005A39FD" w:rsidRDefault="005A39FD" w:rsidP="005A39FD">
      <w:pPr>
        <w:sectPr w:rsidR="005A39FD" w:rsidSect="009A7E24">
          <w:type w:val="continuous"/>
          <w:pgSz w:w="12240" w:h="15840"/>
          <w:pgMar w:top="720" w:right="1008" w:bottom="810" w:left="1080" w:header="720" w:footer="720" w:gutter="0"/>
          <w:cols w:space="720"/>
          <w:noEndnote/>
        </w:sectPr>
      </w:pPr>
    </w:p>
    <w:p w14:paraId="4DB3046C" w14:textId="77777777" w:rsidR="005A39FD" w:rsidRPr="004B0BFA" w:rsidRDefault="005A39FD" w:rsidP="005A39FD">
      <w:r w:rsidRPr="004B0BFA">
        <w:t>Impact of Short Run (SR – within two years of application)</w:t>
      </w:r>
    </w:p>
    <w:p w14:paraId="67BD72F5" w14:textId="77777777" w:rsidR="005A39FD" w:rsidRPr="004B0BFA" w:rsidRDefault="005A39FD" w:rsidP="005A39FD">
      <w:pPr>
        <w:pStyle w:val="ListParagraph"/>
        <w:numPr>
          <w:ilvl w:val="0"/>
          <w:numId w:val="142"/>
        </w:numPr>
      </w:pPr>
      <w:proofErr w:type="gramStart"/>
      <w:r w:rsidRPr="004B0BFA">
        <w:lastRenderedPageBreak/>
        <w:t>With the exception of</w:t>
      </w:r>
      <w:proofErr w:type="gramEnd"/>
      <w:r w:rsidRPr="004B0BFA">
        <w:t xml:space="preserve"> the very strong employment impacts of Training, SR impacts are relatively modest and actually negative in some cases.</w:t>
      </w:r>
    </w:p>
    <w:p w14:paraId="69F00508" w14:textId="77777777" w:rsidR="005A39FD" w:rsidRPr="004B0BFA" w:rsidRDefault="005A39FD" w:rsidP="005A39FD">
      <w:pPr>
        <w:pStyle w:val="ListParagraph"/>
        <w:numPr>
          <w:ilvl w:val="1"/>
          <w:numId w:val="141"/>
        </w:numPr>
        <w:ind w:left="1080"/>
      </w:pPr>
      <w:r w:rsidRPr="004B0BFA">
        <w:t>Not terribly surprising because this is the primary period of service provision.</w:t>
      </w:r>
    </w:p>
    <w:p w14:paraId="2B816709" w14:textId="60EEDE34" w:rsidR="005A39FD" w:rsidRDefault="005A39FD" w:rsidP="005A39FD">
      <w:pPr>
        <w:pStyle w:val="ListParagraph"/>
        <w:numPr>
          <w:ilvl w:val="1"/>
          <w:numId w:val="141"/>
        </w:numPr>
        <w:ind w:left="1080"/>
      </w:pPr>
      <w:r w:rsidRPr="004B0BFA">
        <w:t xml:space="preserve">Education has the strongest negative impacts on both employment (11% lower) and earnings (9% lower). Plausibly, students are in school and, if working, are likely to work in lower-paid, part-time </w:t>
      </w:r>
      <w:proofErr w:type="gramStart"/>
      <w:r w:rsidRPr="004B0BFA">
        <w:t>jobs</w:t>
      </w:r>
      <w:proofErr w:type="gramEnd"/>
    </w:p>
    <w:p w14:paraId="1D6F2BB2" w14:textId="77777777" w:rsidR="005A39FD" w:rsidRDefault="005A39FD" w:rsidP="005A39FD">
      <w:pPr>
        <w:pStyle w:val="ListParagraph"/>
        <w:ind w:left="1080"/>
      </w:pPr>
    </w:p>
    <w:p w14:paraId="59972206" w14:textId="1F783EFE" w:rsidR="005A39FD" w:rsidRDefault="005A39FD" w:rsidP="004B0BFA">
      <w:pPr>
        <w:spacing w:after="120" w:line="264" w:lineRule="auto"/>
      </w:pPr>
      <w:r w:rsidRPr="005A39FD">
        <w:drawing>
          <wp:inline distT="0" distB="0" distL="0" distR="0" wp14:anchorId="63154926" wp14:editId="42A41D75">
            <wp:extent cx="3160226" cy="2695184"/>
            <wp:effectExtent l="0" t="0" r="2540" b="10160"/>
            <wp:docPr id="1122023523" name="Chart 1" descr="Short-Run (SR) Effects&#10;Diag:&#10;employment = -0.091&#10;Earnings = -0.085&#10;Train&#10;employment = 0.252&#10;Earnings = -0.055&#10;Educ&#10;employment = -0.120&#10;Earnings = -0.085&#10;Rstr&#10;employment =0.007&#10;Earnings = 0.092&#10;Maint&#10;employment = -0.065&#10;Earnings = 0.106&#10;Other&#10;employment =0.051&#10;Earnings = 0.0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82C630" w14:textId="77777777" w:rsidR="004B0BFA" w:rsidRPr="004B0BFA" w:rsidRDefault="004B0BFA" w:rsidP="003C1F17">
      <w:pPr>
        <w:pStyle w:val="Heading2"/>
      </w:pPr>
      <w:r w:rsidRPr="004B0BFA">
        <w:t>Service Effects on Labor Market Outcomes for People with Mental Illness: Long-Run Impacts (3 of 4) (DARS SFY 2000 Applicants)</w:t>
      </w:r>
    </w:p>
    <w:p w14:paraId="63F5322B" w14:textId="77777777" w:rsidR="00C346C3" w:rsidRDefault="00C346C3" w:rsidP="004D3B12">
      <w:pPr>
        <w:sectPr w:rsidR="00C346C3" w:rsidSect="009A7E24">
          <w:type w:val="continuous"/>
          <w:pgSz w:w="12240" w:h="15840"/>
          <w:pgMar w:top="720" w:right="1008" w:bottom="810" w:left="1080" w:header="720" w:footer="720" w:gutter="0"/>
          <w:cols w:space="720"/>
          <w:noEndnote/>
        </w:sectPr>
      </w:pPr>
    </w:p>
    <w:p w14:paraId="4CFA16DF" w14:textId="77777777" w:rsidR="004B0BFA" w:rsidRPr="004B0BFA" w:rsidRDefault="004B0BFA" w:rsidP="004D3B12">
      <w:r w:rsidRPr="004B0BFA">
        <w:t>Impacts in the Long-Run (LR, more than two years after application)</w:t>
      </w:r>
    </w:p>
    <w:p w14:paraId="314C5788" w14:textId="77777777" w:rsidR="004B0BFA" w:rsidRPr="004B0BFA" w:rsidRDefault="004B0BFA" w:rsidP="00086FDF">
      <w:pPr>
        <w:pStyle w:val="ListParagraph"/>
        <w:numPr>
          <w:ilvl w:val="0"/>
          <w:numId w:val="142"/>
        </w:numPr>
      </w:pPr>
      <w:r w:rsidRPr="004B0BFA">
        <w:t xml:space="preserve">LR results are quite different and generally stronger than in the SR. </w:t>
      </w:r>
      <w:proofErr w:type="gramStart"/>
      <w:r w:rsidRPr="004B0BFA">
        <w:t>In particular, LR</w:t>
      </w:r>
      <w:proofErr w:type="gramEnd"/>
      <w:r w:rsidRPr="004B0BFA">
        <w:t xml:space="preserve"> earnings impacts are positive and higher than SR impacts for every service type.  </w:t>
      </w:r>
    </w:p>
    <w:p w14:paraId="58C6D32C" w14:textId="77777777" w:rsidR="004B0BFA" w:rsidRDefault="004B0BFA" w:rsidP="00086FDF">
      <w:pPr>
        <w:pStyle w:val="ListParagraph"/>
        <w:numPr>
          <w:ilvl w:val="0"/>
          <w:numId w:val="142"/>
        </w:numPr>
      </w:pPr>
      <w:r w:rsidRPr="004B0BFA">
        <w:t xml:space="preserve">Recipients </w:t>
      </w:r>
      <w:proofErr w:type="gramStart"/>
      <w:r w:rsidRPr="004B0BFA">
        <w:t>of  Education</w:t>
      </w:r>
      <w:proofErr w:type="gramEnd"/>
      <w:r w:rsidRPr="004B0BFA">
        <w:t xml:space="preserve">, Restorative, Maintenance, and Other services are employed at roughly the same rates as non-recipients but have higher paying </w:t>
      </w:r>
      <w:r w:rsidRPr="004B0BFA">
        <w:t>jobs with earnings ranging from 12% to 21% higher.</w:t>
      </w:r>
    </w:p>
    <w:p w14:paraId="46A00E7A" w14:textId="7C3D1A42" w:rsidR="00730E0C" w:rsidRPr="004B0BFA" w:rsidRDefault="009513A9" w:rsidP="009513A9">
      <w:pPr>
        <w:pStyle w:val="ListParagraph"/>
        <w:spacing w:line="240" w:lineRule="auto"/>
      </w:pPr>
      <w:r w:rsidRPr="00086FDF">
        <w:drawing>
          <wp:inline distT="0" distB="0" distL="0" distR="0" wp14:anchorId="4F254385" wp14:editId="12D0F5CB">
            <wp:extent cx="2879958" cy="2519059"/>
            <wp:effectExtent l="0" t="0" r="0" b="0"/>
            <wp:docPr id="5" name="Picture 4" descr="Long-Run (LR) Effects&#10;Diag:&#10;employment = -0.185&#10;Earnings = 0.032&#10;Train&#10;employment =0.216&#10;Earnings = 0.136&#10;Educ&#10;employment = -0.045&#10;Earnings = 0.146&#10;Rstr&#10;employment = -0.051&#10;Earnings = 0.206&#10;Maint&#10;employment = -0.030&#10;Earnings = 0.217&#10;Other&#10;employment = 0.020&#10;Earnings = 0.146">
              <a:extLst xmlns:a="http://schemas.openxmlformats.org/drawingml/2006/main">
                <a:ext uri="{FF2B5EF4-FFF2-40B4-BE49-F238E27FC236}">
                  <a16:creationId xmlns:a16="http://schemas.microsoft.com/office/drawing/2014/main" id="{629F6320-EC85-0291-7AF7-876FD142BC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ng-Run (LR) Effects&#10;Diag:&#10;employment = -0.185&#10;Earnings = 0.032&#10;Train&#10;employment =0.216&#10;Earnings = 0.136&#10;Educ&#10;employment = -0.045&#10;Earnings = 0.146&#10;Rstr&#10;employment = -0.051&#10;Earnings = 0.206&#10;Maint&#10;employment = -0.030&#10;Earnings = 0.217&#10;Other&#10;employment = 0.020&#10;Earnings = 0.146">
                      <a:extLst>
                        <a:ext uri="{FF2B5EF4-FFF2-40B4-BE49-F238E27FC236}">
                          <a16:creationId xmlns:a16="http://schemas.microsoft.com/office/drawing/2014/main" id="{629F6320-EC85-0291-7AF7-876FD142BCEA}"/>
                        </a:ext>
                      </a:extLst>
                    </pic:cNvPr>
                    <pic:cNvPicPr>
                      <a:picLocks noChangeAspect="1"/>
                    </pic:cNvPicPr>
                  </pic:nvPicPr>
                  <pic:blipFill>
                    <a:blip r:embed="rId13"/>
                    <a:stretch>
                      <a:fillRect/>
                    </a:stretch>
                  </pic:blipFill>
                  <pic:spPr>
                    <a:xfrm>
                      <a:off x="0" y="0"/>
                      <a:ext cx="2980783" cy="2607249"/>
                    </a:xfrm>
                    <a:prstGeom prst="rect">
                      <a:avLst/>
                    </a:prstGeom>
                  </pic:spPr>
                </pic:pic>
              </a:graphicData>
            </a:graphic>
          </wp:inline>
        </w:drawing>
      </w:r>
    </w:p>
    <w:p w14:paraId="50928E8F" w14:textId="77777777" w:rsidR="00C346C3" w:rsidRDefault="00C346C3" w:rsidP="003C1F17">
      <w:pPr>
        <w:pStyle w:val="Heading2"/>
        <w:sectPr w:rsidR="00C346C3" w:rsidSect="009A7E24">
          <w:type w:val="continuous"/>
          <w:pgSz w:w="12240" w:h="15840"/>
          <w:pgMar w:top="720" w:right="1008" w:bottom="810" w:left="1080" w:header="720" w:footer="720" w:gutter="0"/>
          <w:cols w:num="2" w:space="720"/>
          <w:noEndnote/>
        </w:sectPr>
      </w:pPr>
    </w:p>
    <w:p w14:paraId="40D951D2" w14:textId="77777777" w:rsidR="004B0BFA" w:rsidRPr="004B0BFA" w:rsidRDefault="004B0BFA" w:rsidP="003C1F17">
      <w:pPr>
        <w:pStyle w:val="Heading2"/>
      </w:pPr>
      <w:r w:rsidRPr="004B0BFA">
        <w:lastRenderedPageBreak/>
        <w:t>Service Effects on Labor Market Outcomes for People with Mental Illness: Long-Run Impacts (4 of 4) (DARS SFY 2000 Applicants)</w:t>
      </w:r>
    </w:p>
    <w:p w14:paraId="6C24CA84" w14:textId="77777777" w:rsidR="004B0BFA" w:rsidRPr="004B0BFA" w:rsidRDefault="004B0BFA" w:rsidP="004D3B12">
      <w:r w:rsidRPr="004B0BFA">
        <w:t>Impacts in the Long-Run (LR, more than two years after application)</w:t>
      </w:r>
    </w:p>
    <w:p w14:paraId="5A7A1300" w14:textId="77777777" w:rsidR="004B0BFA" w:rsidRPr="004B0BFA" w:rsidRDefault="004B0BFA" w:rsidP="00A4156A">
      <w:pPr>
        <w:pStyle w:val="ListParagraph"/>
        <w:numPr>
          <w:ilvl w:val="0"/>
          <w:numId w:val="142"/>
        </w:numPr>
      </w:pPr>
      <w:r w:rsidRPr="004B0BFA">
        <w:t>Training provides the strongest impacts: Not only more likely be employed (21% higher likelihood), but also higher earnings (12%).</w:t>
      </w:r>
    </w:p>
    <w:p w14:paraId="1837DA51" w14:textId="77777777" w:rsidR="004B0BFA" w:rsidRPr="004B0BFA" w:rsidRDefault="004B0BFA" w:rsidP="00A4156A">
      <w:pPr>
        <w:pStyle w:val="ListParagraph"/>
        <w:numPr>
          <w:ilvl w:val="0"/>
          <w:numId w:val="142"/>
        </w:numPr>
      </w:pPr>
      <w:r w:rsidRPr="004B0BFA">
        <w:t xml:space="preserve">Diagnostic &amp; Evaluation services are estimated to have negative impacts on employment rates (19% lower) at comparable earnings levels. </w:t>
      </w:r>
    </w:p>
    <w:p w14:paraId="2B5935BB" w14:textId="17DB165C" w:rsidR="006900C1" w:rsidRDefault="004B0BFA" w:rsidP="00694ADD">
      <w:pPr>
        <w:pStyle w:val="ListParagraph"/>
        <w:numPr>
          <w:ilvl w:val="1"/>
          <w:numId w:val="142"/>
        </w:numPr>
        <w:ind w:left="1080"/>
      </w:pPr>
      <w:r w:rsidRPr="004B0BFA">
        <w:t xml:space="preserve">Plausible to have no effect but the lower employment likelihood is anomalous. </w:t>
      </w:r>
    </w:p>
    <w:p w14:paraId="14F67FD0" w14:textId="20CBC941" w:rsidR="006900C1" w:rsidRDefault="004B0BFA" w:rsidP="006900C1">
      <w:pPr>
        <w:pStyle w:val="ListParagraph"/>
        <w:numPr>
          <w:ilvl w:val="1"/>
          <w:numId w:val="142"/>
        </w:numPr>
        <w:ind w:left="1080"/>
      </w:pPr>
      <w:r w:rsidRPr="004B0BFA">
        <w:t>A sizable proportion of individuals with mental illness (MI) are referred through Community Service Boards (CSBs) and arrive at DARS with full diagnostic information. DARS believes this anomalous result indicates that individuals who are not connected to CSBs fare worse than those who are. A potential policy recommendation is for DARS to work more closely with CSBs.</w:t>
      </w:r>
    </w:p>
    <w:p w14:paraId="7379C9F8" w14:textId="77777777" w:rsidR="00534E27" w:rsidRDefault="00534E27" w:rsidP="00534E27">
      <w:pPr>
        <w:pStyle w:val="ListParagraph"/>
        <w:ind w:left="1080"/>
      </w:pPr>
    </w:p>
    <w:p w14:paraId="6B8CB4E8" w14:textId="77777777" w:rsidR="00534E27" w:rsidRDefault="00A4156A" w:rsidP="00534E27">
      <w:pPr>
        <w:spacing w:line="240" w:lineRule="auto"/>
        <w:rPr>
          <w:b/>
          <w:bCs/>
        </w:rPr>
      </w:pPr>
      <w:r w:rsidRPr="00A4156A">
        <w:drawing>
          <wp:inline distT="0" distB="0" distL="0" distR="0" wp14:anchorId="658C9EEE" wp14:editId="68C533AC">
            <wp:extent cx="2665379" cy="2234993"/>
            <wp:effectExtent l="0" t="0" r="1905" b="0"/>
            <wp:docPr id="1738471748" name="Picture 4" descr="Long-Run (LR) Effects&#10;Diag:&#10;employment = -0.185&#10;Earnings = 0.032&#10;Train&#10;employment =0.216&#10;Earnings = 0.136&#10;Educ&#10;employment = -0.045&#10;Earnings = 0.146&#10;Rstr&#10;employment = -0.051&#10;Earnings = 0.206&#10;Maint&#10;employment = -0.030&#10;Earnings = 0.217&#10;Other&#10;employment = 0.020&#10;Earnings = 0.146">
              <a:extLst xmlns:a="http://schemas.openxmlformats.org/drawingml/2006/main">
                <a:ext uri="{FF2B5EF4-FFF2-40B4-BE49-F238E27FC236}">
                  <a16:creationId xmlns:a16="http://schemas.microsoft.com/office/drawing/2014/main" id="{E993AB16-007E-76DE-7C68-06291659B4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ng-Run (LR) Effects&#10;Diag:&#10;employment = -0.185&#10;Earnings = 0.032&#10;Train&#10;employment =0.216&#10;Earnings = 0.136&#10;Educ&#10;employment = -0.045&#10;Earnings = 0.146&#10;Rstr&#10;employment = -0.051&#10;Earnings = 0.206&#10;Maint&#10;employment = -0.030&#10;Earnings = 0.217&#10;Other&#10;employment = 0.020&#10;Earnings = 0.146">
                      <a:extLst>
                        <a:ext uri="{FF2B5EF4-FFF2-40B4-BE49-F238E27FC236}">
                          <a16:creationId xmlns:a16="http://schemas.microsoft.com/office/drawing/2014/main" id="{E993AB16-007E-76DE-7C68-06291659B462}"/>
                        </a:ext>
                      </a:extLst>
                    </pic:cNvPr>
                    <pic:cNvPicPr>
                      <a:picLocks noChangeAspect="1"/>
                    </pic:cNvPicPr>
                  </pic:nvPicPr>
                  <pic:blipFill>
                    <a:blip r:embed="rId13"/>
                    <a:stretch>
                      <a:fillRect/>
                    </a:stretch>
                  </pic:blipFill>
                  <pic:spPr>
                    <a:xfrm>
                      <a:off x="0" y="0"/>
                      <a:ext cx="2677976" cy="2245556"/>
                    </a:xfrm>
                    <a:prstGeom prst="rect">
                      <a:avLst/>
                    </a:prstGeom>
                  </pic:spPr>
                </pic:pic>
              </a:graphicData>
            </a:graphic>
          </wp:inline>
        </w:drawing>
      </w:r>
    </w:p>
    <w:p w14:paraId="71A0C7B8" w14:textId="60E67C72" w:rsidR="00AA00ED" w:rsidRDefault="004B0BFA" w:rsidP="00AA00ED">
      <w:pPr>
        <w:pStyle w:val="Heading2"/>
      </w:pPr>
      <w:r w:rsidRPr="004B0BFA">
        <w:t>Service Effects on Labor Market Outcomes for People with Cognitive Impairments (1 of 3) (DARS SFY 2000 Applicants)</w:t>
      </w:r>
    </w:p>
    <w:p w14:paraId="587B8A44" w14:textId="77777777" w:rsidR="00AA00ED" w:rsidRPr="004B0BFA" w:rsidRDefault="00AA00ED" w:rsidP="00AA00ED">
      <w:r w:rsidRPr="004B0BFA">
        <w:t xml:space="preserve">Note:  Vertical axis shows change in employment rate or proportionate change in earnings (if employed). Horizontal axis shows different service </w:t>
      </w:r>
      <w:proofErr w:type="gramStart"/>
      <w:r w:rsidRPr="004B0BFA">
        <w:t>types</w:t>
      </w:r>
      <w:proofErr w:type="gramEnd"/>
    </w:p>
    <w:p w14:paraId="28BD20BE" w14:textId="77777777" w:rsidR="00AA00ED" w:rsidRPr="00AA00ED" w:rsidRDefault="00AA00ED" w:rsidP="00AA00ED"/>
    <w:p w14:paraId="5135C1C2" w14:textId="298E88CD" w:rsidR="004B0BFA" w:rsidRDefault="00A00941" w:rsidP="004B0BFA">
      <w:pPr>
        <w:spacing w:after="120" w:line="264" w:lineRule="auto"/>
        <w:rPr>
          <w:noProof/>
        </w:rPr>
      </w:pPr>
      <w:r w:rsidRPr="00A00941">
        <w:lastRenderedPageBreak/>
        <w:drawing>
          <wp:inline distT="0" distB="0" distL="0" distR="0" wp14:anchorId="2059F091" wp14:editId="35F1D9D6">
            <wp:extent cx="2600860" cy="2159540"/>
            <wp:effectExtent l="0" t="0" r="9525" b="12700"/>
            <wp:docPr id="980154878" name="Chart 1" descr="Short-Run Effects&#10;Diag:&#10;employment = 0.169&#10;Earnings = 0.300&#10;Train&#10;employment = 0.278&#10;Earnings = 0.210&#10;Educ&#10;employment =0.049&#10;Earnings = 0.098&#10;Rstr&#10;employment = -0.132&#10;Earnings = -0.315&#10;Maint&#10;employment = -0.050&#10;Earnings = -0.255&#10;Other&#10;employment = 0.153&#10;Earnings = 0.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DD61A2" w:rsidRPr="00DD61A2">
        <w:rPr>
          <w:noProof/>
        </w:rPr>
        <w:t xml:space="preserve"> </w:t>
      </w:r>
      <w:r w:rsidR="00DD61A2" w:rsidRPr="00DD61A2">
        <w:rPr>
          <w:b/>
          <w:bCs/>
          <w:sz w:val="40"/>
          <w:szCs w:val="32"/>
        </w:rPr>
        <w:drawing>
          <wp:inline distT="0" distB="0" distL="0" distR="0" wp14:anchorId="2F43FE01" wp14:editId="6C664F28">
            <wp:extent cx="2645304" cy="2198451"/>
            <wp:effectExtent l="0" t="0" r="3175" b="11430"/>
            <wp:docPr id="595706031" name="Chart 1" descr="Long-Run Effects&#10;Diag:&#10;employment = 0.124&#10;Earnings = 0.300&#10;Train&#10;employment = 0.183&#10;Earnings = 0.285&#10;Educ&#10;employment =0.215&#10;Earnings = 0.555&#10;Rstr&#10;employment = -0.183&#10;Earnings = -0.230&#10;Maint&#10;employment = 0.024&#10;Earnings = -0.30&#10;Other&#10;employment = 0.168&#10;Earnings = 0.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5701E7" w14:textId="77777777" w:rsidR="004B0BFA" w:rsidRPr="004B0BFA" w:rsidRDefault="004B0BFA" w:rsidP="003C1F17">
      <w:pPr>
        <w:pStyle w:val="Heading2"/>
      </w:pPr>
      <w:r w:rsidRPr="004B0BFA">
        <w:t>Service Effects on Labor Market Outcomes for People with Cognitive Impairments (2 of 3) (DARS SFY 2000 Applicants)</w:t>
      </w:r>
    </w:p>
    <w:p w14:paraId="22F0A6E7" w14:textId="77777777" w:rsidR="004B0BFA" w:rsidRPr="004B0BFA" w:rsidRDefault="004B0BFA" w:rsidP="00AA2191">
      <w:r w:rsidRPr="004B0BFA">
        <w:t xml:space="preserve">Impacts in the Short-Run vs. Long-Run. </w:t>
      </w:r>
    </w:p>
    <w:p w14:paraId="053FB74D" w14:textId="77777777" w:rsidR="004B0BFA" w:rsidRPr="004B0BFA" w:rsidRDefault="004B0BFA" w:rsidP="0029562E">
      <w:pPr>
        <w:pStyle w:val="ListParagraph"/>
        <w:numPr>
          <w:ilvl w:val="0"/>
          <w:numId w:val="143"/>
        </w:numPr>
      </w:pPr>
      <w:r w:rsidRPr="004B0BFA">
        <w:t xml:space="preserve">Diagnostic, Training, Education, and </w:t>
      </w:r>
      <w:proofErr w:type="gramStart"/>
      <w:r w:rsidRPr="004B0BFA">
        <w:t>Other</w:t>
      </w:r>
      <w:proofErr w:type="gramEnd"/>
      <w:r w:rsidRPr="004B0BFA">
        <w:t xml:space="preserve"> services have positive SR and LR labor market impacts. </w:t>
      </w:r>
    </w:p>
    <w:p w14:paraId="7867AE1B" w14:textId="77777777" w:rsidR="004B0BFA" w:rsidRPr="004B0BFA" w:rsidRDefault="004B0BFA" w:rsidP="0029562E">
      <w:pPr>
        <w:pStyle w:val="ListParagraph"/>
        <w:numPr>
          <w:ilvl w:val="0"/>
          <w:numId w:val="143"/>
        </w:numPr>
      </w:pPr>
      <w:r w:rsidRPr="004B0BFA">
        <w:t>Restorative and Maintenance services have negative labor market SR and LR labor market impacts.</w:t>
      </w:r>
    </w:p>
    <w:p w14:paraId="3C8F374C" w14:textId="77777777" w:rsidR="004B0BFA" w:rsidRDefault="004B0BFA" w:rsidP="0029562E">
      <w:pPr>
        <w:pStyle w:val="ListParagraph"/>
        <w:numPr>
          <w:ilvl w:val="0"/>
          <w:numId w:val="143"/>
        </w:numPr>
      </w:pPr>
      <w:r w:rsidRPr="004B0BFA">
        <w:t>In general, LR impacts are stronger (bigger positive or smaller negative) than SR impacts.</w:t>
      </w:r>
    </w:p>
    <w:p w14:paraId="51C28834" w14:textId="77777777" w:rsidR="0029562E" w:rsidRDefault="0029562E" w:rsidP="0029562E">
      <w:pPr>
        <w:pStyle w:val="ListParagraph"/>
      </w:pPr>
    </w:p>
    <w:p w14:paraId="5D493141" w14:textId="6A707807" w:rsidR="004B0BFA" w:rsidRPr="004B0BFA" w:rsidRDefault="0029562E" w:rsidP="0029562E">
      <w:pPr>
        <w:spacing w:line="240" w:lineRule="auto"/>
      </w:pPr>
      <w:r w:rsidRPr="0029562E">
        <w:drawing>
          <wp:inline distT="0" distB="0" distL="0" distR="0" wp14:anchorId="0398D70C" wp14:editId="2E0CDE59">
            <wp:extent cx="2842646" cy="2362198"/>
            <wp:effectExtent l="0" t="0" r="7620" b="0"/>
            <wp:docPr id="1650301641" name="Picture 4" descr="Long-Run Effects&#10;Diag:&#10;employment = 0.124&#10;Earnings = 0.300&#10;Train&#10;employment = 0.183&#10;Earnings = 0.285&#10;Educ&#10;employment =0.215&#10;Earnings = 0.555&#10;Rstr&#10;employment = -0.183&#10;Earnings = -0.230&#10;Maint&#10;employment = 0.024&#10;Earnings = -0.30&#10;Other&#10;employment = 0.168&#10;Earnings = 0.210">
              <a:extLst xmlns:a="http://schemas.openxmlformats.org/drawingml/2006/main">
                <a:ext uri="{FF2B5EF4-FFF2-40B4-BE49-F238E27FC236}">
                  <a16:creationId xmlns:a16="http://schemas.microsoft.com/office/drawing/2014/main" id="{B0E71BEF-2138-D602-715C-1775B4CE6F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ng-Run Effects&#10;Diag:&#10;employment = 0.124&#10;Earnings = 0.300&#10;Train&#10;employment = 0.183&#10;Earnings = 0.285&#10;Educ&#10;employment =0.215&#10;Earnings = 0.555&#10;Rstr&#10;employment = -0.183&#10;Earnings = -0.230&#10;Maint&#10;employment = 0.024&#10;Earnings = -0.30&#10;Other&#10;employment = 0.168&#10;Earnings = 0.210">
                      <a:extLst>
                        <a:ext uri="{FF2B5EF4-FFF2-40B4-BE49-F238E27FC236}">
                          <a16:creationId xmlns:a16="http://schemas.microsoft.com/office/drawing/2014/main" id="{B0E71BEF-2138-D602-715C-1775B4CE6F69}"/>
                        </a:ext>
                      </a:extLst>
                    </pic:cNvPr>
                    <pic:cNvPicPr>
                      <a:picLocks noChangeAspect="1"/>
                    </pic:cNvPicPr>
                  </pic:nvPicPr>
                  <pic:blipFill>
                    <a:blip r:embed="rId16"/>
                    <a:stretch>
                      <a:fillRect/>
                    </a:stretch>
                  </pic:blipFill>
                  <pic:spPr>
                    <a:xfrm>
                      <a:off x="0" y="0"/>
                      <a:ext cx="2842646" cy="2362198"/>
                    </a:xfrm>
                    <a:prstGeom prst="rect">
                      <a:avLst/>
                    </a:prstGeom>
                  </pic:spPr>
                </pic:pic>
              </a:graphicData>
            </a:graphic>
          </wp:inline>
        </w:drawing>
      </w:r>
      <w:r>
        <w:t xml:space="preserve">    </w:t>
      </w:r>
      <w:r w:rsidRPr="0029562E">
        <w:rPr>
          <w:b/>
          <w:bCs/>
          <w:sz w:val="40"/>
          <w:szCs w:val="32"/>
        </w:rPr>
        <w:drawing>
          <wp:inline distT="0" distB="0" distL="0" distR="0" wp14:anchorId="69209B85" wp14:editId="594B0508">
            <wp:extent cx="2842646" cy="2362199"/>
            <wp:effectExtent l="0" t="0" r="0" b="0"/>
            <wp:docPr id="4" name="Picture 3" descr="Short-Run Effects&#10;Diag:&#10;employment = 0.169&#10;Earnings = 0.300&#10;Train&#10;employment = 0.278&#10;Earnings = 0.210&#10;Educ&#10;employment =0.049&#10;Earnings = 0.098&#10;Rstr&#10;employment = -0.132&#10;Earnings = -0.315&#10;Maint&#10;employment = -0.050&#10;Earnings = -0.255&#10;Other&#10;employment = 0.153&#10;Earnings = 0.300">
              <a:extLst xmlns:a="http://schemas.openxmlformats.org/drawingml/2006/main">
                <a:ext uri="{FF2B5EF4-FFF2-40B4-BE49-F238E27FC236}">
                  <a16:creationId xmlns:a16="http://schemas.microsoft.com/office/drawing/2014/main" id="{F1B2E53C-9234-0637-B0A2-D585B44DF5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hort-Run Effects&#10;Diag:&#10;employment = 0.169&#10;Earnings = 0.300&#10;Train&#10;employment = 0.278&#10;Earnings = 0.210&#10;Educ&#10;employment =0.049&#10;Earnings = 0.098&#10;Rstr&#10;employment = -0.132&#10;Earnings = -0.315&#10;Maint&#10;employment = -0.050&#10;Earnings = -0.255&#10;Other&#10;employment = 0.153&#10;Earnings = 0.300">
                      <a:extLst>
                        <a:ext uri="{FF2B5EF4-FFF2-40B4-BE49-F238E27FC236}">
                          <a16:creationId xmlns:a16="http://schemas.microsoft.com/office/drawing/2014/main" id="{F1B2E53C-9234-0637-B0A2-D585B44DF556}"/>
                        </a:ext>
                      </a:extLst>
                    </pic:cNvPr>
                    <pic:cNvPicPr>
                      <a:picLocks noChangeAspect="1"/>
                    </pic:cNvPicPr>
                  </pic:nvPicPr>
                  <pic:blipFill>
                    <a:blip r:embed="rId17"/>
                    <a:stretch>
                      <a:fillRect/>
                    </a:stretch>
                  </pic:blipFill>
                  <pic:spPr>
                    <a:xfrm>
                      <a:off x="0" y="0"/>
                      <a:ext cx="2842646" cy="2362199"/>
                    </a:xfrm>
                    <a:prstGeom prst="rect">
                      <a:avLst/>
                    </a:prstGeom>
                  </pic:spPr>
                </pic:pic>
              </a:graphicData>
            </a:graphic>
          </wp:inline>
        </w:drawing>
      </w:r>
    </w:p>
    <w:p w14:paraId="5BF371DD" w14:textId="77777777" w:rsidR="004B0BFA" w:rsidRDefault="004B0BFA" w:rsidP="003C1F17">
      <w:pPr>
        <w:pStyle w:val="Heading2"/>
      </w:pPr>
      <w:r w:rsidRPr="004B0BFA">
        <w:lastRenderedPageBreak/>
        <w:t>Service Effects on Labor Market Outcomes for People with Cognitive Impairments (3 of 3) (DARS SFY 2000 Applicants)</w:t>
      </w:r>
    </w:p>
    <w:p w14:paraId="335629DA" w14:textId="1AE6A824" w:rsidR="003C1F17" w:rsidRPr="003C1F17" w:rsidRDefault="003C1F17" w:rsidP="003C1F17">
      <w:pPr>
        <w:spacing w:line="240" w:lineRule="auto"/>
      </w:pPr>
      <w:r w:rsidRPr="003C1F17">
        <w:drawing>
          <wp:inline distT="0" distB="0" distL="0" distR="0" wp14:anchorId="0A8935A6" wp14:editId="4CDBD0BC">
            <wp:extent cx="2925180" cy="2430783"/>
            <wp:effectExtent l="0" t="0" r="8890" b="0"/>
            <wp:docPr id="557476785" name="Picture 3" descr="Short-Run Effects&#10;Diag:&#10;employment = 0.169&#10;Earnings = 0.300&#10;Train&#10;employment = 0.278&#10;Earnings = 0.210&#10;Educ&#10;employment =0.049&#10;Earnings = 0.098&#10;Rstr&#10;employment = -0.132&#10;Earnings = -0.315&#10;Maint&#10;employment = -0.050&#10;Earnings = -0.255&#10;Other&#10;employment = 0.153&#10;Earnings = 0.300">
              <a:extLst xmlns:a="http://schemas.openxmlformats.org/drawingml/2006/main">
                <a:ext uri="{FF2B5EF4-FFF2-40B4-BE49-F238E27FC236}">
                  <a16:creationId xmlns:a16="http://schemas.microsoft.com/office/drawing/2014/main" id="{F1B2E53C-9234-0637-B0A2-D585B44DF5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hort-Run Effects&#10;Diag:&#10;employment = 0.169&#10;Earnings = 0.300&#10;Train&#10;employment = 0.278&#10;Earnings = 0.210&#10;Educ&#10;employment =0.049&#10;Earnings = 0.098&#10;Rstr&#10;employment = -0.132&#10;Earnings = -0.315&#10;Maint&#10;employment = -0.050&#10;Earnings = -0.255&#10;Other&#10;employment = 0.153&#10;Earnings = 0.300">
                      <a:extLst>
                        <a:ext uri="{FF2B5EF4-FFF2-40B4-BE49-F238E27FC236}">
                          <a16:creationId xmlns:a16="http://schemas.microsoft.com/office/drawing/2014/main" id="{F1B2E53C-9234-0637-B0A2-D585B44DF556}"/>
                        </a:ext>
                      </a:extLst>
                    </pic:cNvPr>
                    <pic:cNvPicPr>
                      <a:picLocks noChangeAspect="1"/>
                    </pic:cNvPicPr>
                  </pic:nvPicPr>
                  <pic:blipFill>
                    <a:blip r:embed="rId17"/>
                    <a:stretch>
                      <a:fillRect/>
                    </a:stretch>
                  </pic:blipFill>
                  <pic:spPr>
                    <a:xfrm>
                      <a:off x="0" y="0"/>
                      <a:ext cx="2925180" cy="2430783"/>
                    </a:xfrm>
                    <a:prstGeom prst="rect">
                      <a:avLst/>
                    </a:prstGeom>
                  </pic:spPr>
                </pic:pic>
              </a:graphicData>
            </a:graphic>
          </wp:inline>
        </w:drawing>
      </w:r>
      <w:r>
        <w:t xml:space="preserve">   </w:t>
      </w:r>
      <w:r w:rsidRPr="003C1F17">
        <w:drawing>
          <wp:inline distT="0" distB="0" distL="0" distR="0" wp14:anchorId="1DCD3709" wp14:editId="64C51275">
            <wp:extent cx="2925179" cy="2430782"/>
            <wp:effectExtent l="0" t="0" r="8890" b="0"/>
            <wp:docPr id="1034773111" name="Picture 4" descr="Long-Run Effects&#10;Diag:&#10;employment = 0.124&#10;Earnings = 0.300&#10;Train&#10;employment = 0.183&#10;Earnings = 0.285&#10;Educ&#10;employment =0.215&#10;Earnings = 0.555&#10;Rstr&#10;employment = -0.183&#10;Earnings = -0.230&#10;Maint&#10;employment = 0.024&#10;Earnings = -0.30&#10;Other&#10;employment = 0.168&#10;Earnings = 0.210">
              <a:extLst xmlns:a="http://schemas.openxmlformats.org/drawingml/2006/main">
                <a:ext uri="{FF2B5EF4-FFF2-40B4-BE49-F238E27FC236}">
                  <a16:creationId xmlns:a16="http://schemas.microsoft.com/office/drawing/2014/main" id="{B0E71BEF-2138-D602-715C-1775B4CE6F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ng-Run Effects&#10;Diag:&#10;employment = 0.124&#10;Earnings = 0.300&#10;Train&#10;employment = 0.183&#10;Earnings = 0.285&#10;Educ&#10;employment =0.215&#10;Earnings = 0.555&#10;Rstr&#10;employment = -0.183&#10;Earnings = -0.230&#10;Maint&#10;employment = 0.024&#10;Earnings = -0.30&#10;Other&#10;employment = 0.168&#10;Earnings = 0.210">
                      <a:extLst>
                        <a:ext uri="{FF2B5EF4-FFF2-40B4-BE49-F238E27FC236}">
                          <a16:creationId xmlns:a16="http://schemas.microsoft.com/office/drawing/2014/main" id="{B0E71BEF-2138-D602-715C-1775B4CE6F69}"/>
                        </a:ext>
                      </a:extLst>
                    </pic:cNvPr>
                    <pic:cNvPicPr>
                      <a:picLocks noChangeAspect="1"/>
                    </pic:cNvPicPr>
                  </pic:nvPicPr>
                  <pic:blipFill>
                    <a:blip r:embed="rId16"/>
                    <a:stretch>
                      <a:fillRect/>
                    </a:stretch>
                  </pic:blipFill>
                  <pic:spPr>
                    <a:xfrm>
                      <a:off x="0" y="0"/>
                      <a:ext cx="2925179" cy="2430782"/>
                    </a:xfrm>
                    <a:prstGeom prst="rect">
                      <a:avLst/>
                    </a:prstGeom>
                  </pic:spPr>
                </pic:pic>
              </a:graphicData>
            </a:graphic>
          </wp:inline>
        </w:drawing>
      </w:r>
    </w:p>
    <w:p w14:paraId="256410AA" w14:textId="77777777" w:rsidR="004B0BFA" w:rsidRPr="004B0BFA" w:rsidRDefault="004B0BFA" w:rsidP="004D3B12">
      <w:r w:rsidRPr="004B0BFA">
        <w:t xml:space="preserve">Impacts in the Short-Run vs. Long-Run. </w:t>
      </w:r>
    </w:p>
    <w:p w14:paraId="0AE01A62" w14:textId="77777777" w:rsidR="004B0BFA" w:rsidRPr="004B0BFA" w:rsidRDefault="004B0BFA" w:rsidP="003C1F17">
      <w:pPr>
        <w:pStyle w:val="ListParagraph"/>
        <w:numPr>
          <w:ilvl w:val="0"/>
          <w:numId w:val="145"/>
        </w:numPr>
      </w:pPr>
      <w:r w:rsidRPr="004B0BFA">
        <w:t>Education appears to have the strongest positive LR impacts. However, that impact is limited to the 3.4% of the cohort who received the service.</w:t>
      </w:r>
    </w:p>
    <w:p w14:paraId="6A6A9473" w14:textId="4B76AEB4" w:rsidR="004B0BFA" w:rsidRPr="003C1F17" w:rsidRDefault="004B0BFA" w:rsidP="003C1F17">
      <w:pPr>
        <w:pStyle w:val="ListParagraph"/>
        <w:numPr>
          <w:ilvl w:val="0"/>
          <w:numId w:val="145"/>
        </w:numPr>
      </w:pPr>
      <w:r w:rsidRPr="004B0BFA">
        <w:t xml:space="preserve">Restoration has small LR negative </w:t>
      </w:r>
      <w:proofErr w:type="gramStart"/>
      <w:r w:rsidRPr="004B0BFA">
        <w:t>impacts</w:t>
      </w:r>
      <w:proofErr w:type="gramEnd"/>
      <w:r w:rsidRPr="004B0BFA">
        <w:t xml:space="preserve"> and it was provided to 21% of individuals with cognitive impairments (CI). </w:t>
      </w:r>
    </w:p>
    <w:p w14:paraId="15CDECA7" w14:textId="77777777" w:rsidR="004B0BFA" w:rsidRDefault="004B0BFA" w:rsidP="003C1F17">
      <w:pPr>
        <w:pStyle w:val="Heading2"/>
      </w:pPr>
      <w:r w:rsidRPr="004B0BFA">
        <w:t>Service Effects on Labor Market Outcomes for People with Physical Impairments (1 of 3) (DARS SFY 2000 Applicants)</w:t>
      </w:r>
    </w:p>
    <w:p w14:paraId="4ADD2028" w14:textId="7AD4FFCC" w:rsidR="004B0BFA" w:rsidRDefault="00C3157D" w:rsidP="004B0BFA">
      <w:pPr>
        <w:spacing w:after="120" w:line="264" w:lineRule="auto"/>
        <w:rPr>
          <w:b/>
          <w:bCs/>
          <w:sz w:val="40"/>
          <w:szCs w:val="32"/>
        </w:rPr>
      </w:pPr>
      <w:r w:rsidRPr="00C3157D">
        <w:rPr>
          <w:b/>
          <w:bCs/>
          <w:sz w:val="40"/>
          <w:szCs w:val="32"/>
        </w:rPr>
        <w:drawing>
          <wp:inline distT="0" distB="0" distL="0" distR="0" wp14:anchorId="52244B8D" wp14:editId="1DCE31A7">
            <wp:extent cx="2874537" cy="2402732"/>
            <wp:effectExtent l="0" t="0" r="2540" b="17145"/>
            <wp:docPr id="1938358133" name="Chart 1" descr="Short-Run Effects&#10;Diag:&#10;employment = 0.219&#10;Earnings = 0.178&#10;Train&#10;employment = 0.130&#10;Earnings = 0.001&#10;Educ&#10;employment = 0.103&#10;Earnings = .315&#10;Rstr&#10;employment = 0.206&#10;Earnings = 0.348&#10;Maint&#10;employment = -0.003&#10;Earnings = -0.174&#10;Other&#10;employment = 0.154&#10;Earnings = 0.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b/>
          <w:bCs/>
          <w:sz w:val="40"/>
          <w:szCs w:val="32"/>
        </w:rPr>
        <w:t xml:space="preserve">   </w:t>
      </w:r>
      <w:r w:rsidRPr="00C3157D">
        <w:rPr>
          <w:b/>
          <w:bCs/>
          <w:sz w:val="40"/>
          <w:szCs w:val="32"/>
        </w:rPr>
        <w:drawing>
          <wp:inline distT="0" distB="0" distL="0" distR="0" wp14:anchorId="58663E74" wp14:editId="5A59A51A">
            <wp:extent cx="2885139" cy="2411594"/>
            <wp:effectExtent l="0" t="0" r="10795" b="8255"/>
            <wp:docPr id="1777931444" name="Chart 1" descr="Long-Run Effects&#10;Diag:&#10;employment = 0.051&#10;Earnings = 0.320&#10;Train&#10;employment = 0.163&#10;Earnings = 0.189&#10;Educ&#10;employment = 0.226&#10;Earnings = 0.385&#10;Rstr&#10;employment = 0.143&#10;Earnings = 0.447&#10;Maint&#10;employment = -0.006&#10;Earnings = 0.026&#10;Other&#10;employment = 0.108&#10;Earnings = 0.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D86411" w14:textId="4ECBD31D" w:rsidR="00C3157D" w:rsidRPr="004B0BFA" w:rsidRDefault="00C3157D" w:rsidP="00C3157D">
      <w:r w:rsidRPr="004B0BFA">
        <w:t xml:space="preserve">Note:  Vertical axis shows change in employment rate or proportionate change in earnings (if employed). Horizontal axis shows different service </w:t>
      </w:r>
      <w:proofErr w:type="gramStart"/>
      <w:r w:rsidRPr="004B0BFA">
        <w:t>types</w:t>
      </w:r>
      <w:proofErr w:type="gramEnd"/>
    </w:p>
    <w:p w14:paraId="20277F31" w14:textId="77777777" w:rsidR="004B0BFA" w:rsidRPr="004B0BFA" w:rsidRDefault="004B0BFA" w:rsidP="003C1F17">
      <w:pPr>
        <w:pStyle w:val="Heading2"/>
      </w:pPr>
      <w:r w:rsidRPr="004B0BFA">
        <w:lastRenderedPageBreak/>
        <w:t>Service Effects on Labor Market Outcomes for People with Physical Impairments (2 of 3) (DARS SFY 2000 Applicants)</w:t>
      </w:r>
    </w:p>
    <w:p w14:paraId="26473A6B" w14:textId="77777777" w:rsidR="004B0BFA" w:rsidRPr="004B0BFA" w:rsidRDefault="004B0BFA" w:rsidP="004D3B12">
      <w:pPr>
        <w:tabs>
          <w:tab w:val="num" w:pos="720"/>
        </w:tabs>
      </w:pPr>
      <w:r w:rsidRPr="004B0BFA">
        <w:t xml:space="preserve">Service impacts stronger for customers with physical impairments (PI) than for other disabling </w:t>
      </w:r>
      <w:proofErr w:type="gramStart"/>
      <w:r w:rsidRPr="004B0BFA">
        <w:t>conditions</w:t>
      </w:r>
      <w:proofErr w:type="gramEnd"/>
    </w:p>
    <w:p w14:paraId="1598D684" w14:textId="77777777" w:rsidR="004B0BFA" w:rsidRPr="004B0BFA" w:rsidRDefault="004B0BFA" w:rsidP="006F0C5B">
      <w:pPr>
        <w:pStyle w:val="ListParagraph"/>
        <w:numPr>
          <w:ilvl w:val="0"/>
          <w:numId w:val="146"/>
        </w:numPr>
        <w:tabs>
          <w:tab w:val="num" w:pos="1440"/>
        </w:tabs>
      </w:pPr>
      <w:r w:rsidRPr="004B0BFA">
        <w:t>True in both short-run and long-run, although LR impacts are generally stronger than SR.</w:t>
      </w:r>
    </w:p>
    <w:p w14:paraId="5960A785" w14:textId="3AD7153A" w:rsidR="009F6F7B" w:rsidRPr="004B0BFA" w:rsidRDefault="004B0BFA" w:rsidP="009F6F7B">
      <w:pPr>
        <w:pStyle w:val="ListParagraph"/>
        <w:numPr>
          <w:ilvl w:val="0"/>
          <w:numId w:val="146"/>
        </w:numPr>
        <w:tabs>
          <w:tab w:val="num" w:pos="1440"/>
        </w:tabs>
      </w:pPr>
      <w:r w:rsidRPr="004B0BFA">
        <w:t>Again, earnings impacts increase more from SR to LR than do employment</w:t>
      </w:r>
      <w:r w:rsidR="006F0C5B">
        <w:t xml:space="preserve"> </w:t>
      </w:r>
      <w:r w:rsidRPr="004B0BFA">
        <w:t>impacts.</w:t>
      </w:r>
    </w:p>
    <w:p w14:paraId="7FEC02FD" w14:textId="1CD8D29C" w:rsidR="006F0C5B" w:rsidRDefault="006F0C5B" w:rsidP="004B0BFA">
      <w:pPr>
        <w:spacing w:after="120" w:line="264" w:lineRule="auto"/>
        <w:rPr>
          <w:b/>
          <w:bCs/>
          <w:sz w:val="40"/>
          <w:szCs w:val="32"/>
        </w:rPr>
      </w:pPr>
      <w:r w:rsidRPr="006F0C5B">
        <w:rPr>
          <w:b/>
          <w:bCs/>
          <w:sz w:val="40"/>
          <w:szCs w:val="32"/>
        </w:rPr>
        <w:drawing>
          <wp:inline distT="0" distB="0" distL="0" distR="0" wp14:anchorId="0A1E2111" wp14:editId="15230DBB">
            <wp:extent cx="2656124" cy="2149426"/>
            <wp:effectExtent l="0" t="0" r="11430" b="3810"/>
            <wp:docPr id="1127658962" name="Chart 1" descr="Long-Run Effects&#10;Diag:&#10;employment = 0.051&#10;Earnings = 0.320&#10;Train&#10;employment = 0.163&#10;Earnings = 0.189&#10;Educ&#10;employment = 0.226&#10;Earnings = 0.385&#10;Rstr&#10;employment = 0.143&#10;Earnings = 0.447&#10;Maint&#10;employment = -0.006&#10;Earnings = 0.026&#10;Other&#10;employment = 0.108&#10;Earnings = 0.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b/>
          <w:bCs/>
          <w:sz w:val="40"/>
          <w:szCs w:val="32"/>
        </w:rPr>
        <w:t xml:space="preserve">   </w:t>
      </w:r>
      <w:r w:rsidRPr="006F0C5B">
        <w:rPr>
          <w:b/>
          <w:bCs/>
          <w:sz w:val="40"/>
          <w:szCs w:val="32"/>
        </w:rPr>
        <w:drawing>
          <wp:inline distT="0" distB="0" distL="0" distR="0" wp14:anchorId="45146C3C" wp14:editId="648E9A20">
            <wp:extent cx="2547512" cy="2159896"/>
            <wp:effectExtent l="0" t="0" r="5715" b="12065"/>
            <wp:docPr id="2115997153" name="Chart 1" descr="Short-Run Effects&#10;Diag:&#10;employment = 0.219&#10;Earnings = 0.178&#10;Train&#10;employment = 0.130&#10;Earnings = 0.001&#10;Educ&#10;employment = 0.103&#10;Earnings = .315&#10;Rstr&#10;employment = 0.206&#10;Earnings = 0.348&#10;Maint&#10;employment = -0.003&#10;Earnings = -0.174&#10;Other&#10;employment = 0.154&#10;Earnings = 0.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7C80D7" w14:textId="77777777" w:rsidR="00286FFC" w:rsidRPr="004B0BFA" w:rsidRDefault="00286FFC" w:rsidP="00286FFC">
      <w:pPr>
        <w:pStyle w:val="Heading2"/>
      </w:pPr>
      <w:r w:rsidRPr="004B0BFA">
        <w:t>Service Effects on Labor Market Outcomes for People with Physical Impairments (3 of 3) (DARS SFY 2000 Applicants)</w:t>
      </w:r>
    </w:p>
    <w:p w14:paraId="796782A8" w14:textId="77777777" w:rsidR="00286FFC" w:rsidRPr="004B0BFA" w:rsidRDefault="00286FFC" w:rsidP="00286FFC">
      <w:pPr>
        <w:tabs>
          <w:tab w:val="num" w:pos="720"/>
        </w:tabs>
      </w:pPr>
      <w:r w:rsidRPr="004B0BFA">
        <w:t xml:space="preserve">All but one SR and LR impact is </w:t>
      </w:r>
      <w:proofErr w:type="gramStart"/>
      <w:r w:rsidRPr="004B0BFA">
        <w:t>positive</w:t>
      </w:r>
      <w:proofErr w:type="gramEnd"/>
    </w:p>
    <w:p w14:paraId="130C5CF9" w14:textId="77777777" w:rsidR="00286FFC" w:rsidRDefault="00286FFC" w:rsidP="00286FFC">
      <w:pPr>
        <w:pStyle w:val="ListParagraph"/>
        <w:numPr>
          <w:ilvl w:val="0"/>
          <w:numId w:val="148"/>
        </w:numPr>
        <w:tabs>
          <w:tab w:val="num" w:pos="1440"/>
        </w:tabs>
      </w:pPr>
      <w:r w:rsidRPr="004B0BFA">
        <w:t>The exception is Maintenance which has a negative SR earnings impact. Maintenance impacts are small in the LR.</w:t>
      </w:r>
    </w:p>
    <w:p w14:paraId="5C576C56" w14:textId="77777777" w:rsidR="00286FFC" w:rsidRPr="004B0BFA" w:rsidRDefault="00286FFC" w:rsidP="00286FFC">
      <w:pPr>
        <w:tabs>
          <w:tab w:val="num" w:pos="1440"/>
        </w:tabs>
        <w:ind w:left="360"/>
      </w:pPr>
    </w:p>
    <w:p w14:paraId="20E3FBB5" w14:textId="77777777" w:rsidR="00286FFC" w:rsidRPr="004B0BFA" w:rsidRDefault="00286FFC" w:rsidP="00286FFC">
      <w:pPr>
        <w:tabs>
          <w:tab w:val="num" w:pos="720"/>
        </w:tabs>
      </w:pPr>
      <w:r w:rsidRPr="004B0BFA">
        <w:t>All other service types show strong positive LR impacts for both employment and earnings.</w:t>
      </w:r>
    </w:p>
    <w:p w14:paraId="6C557767" w14:textId="3A46BF71" w:rsidR="00286FFC" w:rsidRPr="00286FFC" w:rsidRDefault="00286FFC" w:rsidP="00AA00ED">
      <w:pPr>
        <w:pStyle w:val="ListParagraph"/>
        <w:numPr>
          <w:ilvl w:val="0"/>
          <w:numId w:val="148"/>
        </w:numPr>
        <w:tabs>
          <w:tab w:val="num" w:pos="1440"/>
        </w:tabs>
      </w:pPr>
      <w:r w:rsidRPr="004B0BFA">
        <w:t>Education and Restoration appear to have the strongest impacts.</w:t>
      </w:r>
    </w:p>
    <w:p w14:paraId="0AA0D14E" w14:textId="5951F01D" w:rsidR="002E3B8A" w:rsidRDefault="002E3B8A" w:rsidP="004B0BFA">
      <w:pPr>
        <w:spacing w:after="120" w:line="264" w:lineRule="auto"/>
        <w:rPr>
          <w:noProof/>
        </w:rPr>
      </w:pPr>
      <w:r w:rsidRPr="002E3B8A">
        <w:rPr>
          <w:b/>
          <w:bCs/>
          <w:sz w:val="40"/>
          <w:szCs w:val="32"/>
        </w:rPr>
        <w:lastRenderedPageBreak/>
        <w:drawing>
          <wp:inline distT="0" distB="0" distL="0" distR="0" wp14:anchorId="5F1AB85E" wp14:editId="1F1FDA1F">
            <wp:extent cx="2943247" cy="2467304"/>
            <wp:effectExtent l="0" t="0" r="9525" b="9525"/>
            <wp:docPr id="550643370" name="Chart 1" descr="Long-Run Effects&#10;Diag:&#10;employment = 0.051&#10;Earnings = 0.320&#10;Train&#10;employment = 0.163&#10;Earnings = 0.189&#10;Educ&#10;employment = 0.226&#10;Earnings = 0.385&#10;Rstr&#10;employment = 0.143&#10;Earnings = 0.447&#10;Maint&#10;employment = -0.006&#10;Earnings = 0.026&#10;Other&#10;employment = 0.108&#10;Earnings = 0.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286FFC">
        <w:rPr>
          <w:b/>
          <w:bCs/>
          <w:sz w:val="40"/>
          <w:szCs w:val="32"/>
        </w:rPr>
        <w:t>…</w:t>
      </w:r>
      <w:r w:rsidR="00286FFC" w:rsidRPr="00286FFC">
        <w:rPr>
          <w:noProof/>
        </w:rPr>
        <w:t xml:space="preserve"> </w:t>
      </w:r>
      <w:r w:rsidR="00286FFC" w:rsidRPr="00286FFC">
        <w:rPr>
          <w:b/>
          <w:bCs/>
          <w:sz w:val="40"/>
          <w:szCs w:val="32"/>
        </w:rPr>
        <w:drawing>
          <wp:inline distT="0" distB="0" distL="0" distR="0" wp14:anchorId="3AE6F901" wp14:editId="49EB71FB">
            <wp:extent cx="2809384" cy="2467304"/>
            <wp:effectExtent l="0" t="0" r="10160" b="9525"/>
            <wp:docPr id="564089706" name="Chart 1" descr="Short-Run Effects&#10;Diag:&#10;employment = 0.219&#10;Earnings = 0.178&#10;Train&#10;employment = 0.130&#10;Earnings = 0.001&#10;Educ&#10;employment = 0.103&#10;Earnings = .315&#10;Rstr&#10;employment = 0.206&#10;Earnings = 0.348&#10;Maint&#10;employment = -0.003&#10;Earnings = -0.174&#10;Other&#10;employment = 0.154&#10;Earnings = 0.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EEA795" w14:textId="77777777" w:rsidR="008225AD" w:rsidRPr="004B0BFA" w:rsidRDefault="008225AD" w:rsidP="008225AD">
      <w:pPr>
        <w:pStyle w:val="Heading2"/>
      </w:pPr>
      <w:r w:rsidRPr="004B0BFA">
        <w:t>VR ROI Feature # 6: Rigorous Statistical Model</w:t>
      </w:r>
    </w:p>
    <w:p w14:paraId="609FE8C7" w14:textId="77777777" w:rsidR="008225AD" w:rsidRPr="004B0BFA" w:rsidRDefault="008225AD" w:rsidP="008225AD">
      <w:r w:rsidRPr="004B0BFA">
        <w:t>Review of material from Module 2</w:t>
      </w:r>
    </w:p>
    <w:p w14:paraId="71B1F8A0" w14:textId="77777777" w:rsidR="008225AD" w:rsidRPr="004B0BFA" w:rsidRDefault="008225AD" w:rsidP="008225AD">
      <w:pPr>
        <w:pStyle w:val="ListParagraph"/>
        <w:numPr>
          <w:ilvl w:val="0"/>
          <w:numId w:val="149"/>
        </w:numPr>
      </w:pPr>
      <w:r w:rsidRPr="004B0BFA">
        <w:t xml:space="preserve">Ideally, we would observe the same person with and without VR services over the same </w:t>
      </w:r>
      <w:proofErr w:type="gramStart"/>
      <w:r w:rsidRPr="004B0BFA">
        <w:t>time period</w:t>
      </w:r>
      <w:proofErr w:type="gramEnd"/>
      <w:r w:rsidRPr="004B0BFA">
        <w:t>, but this is not possible.</w:t>
      </w:r>
    </w:p>
    <w:p w14:paraId="539C0643" w14:textId="77777777" w:rsidR="008225AD" w:rsidRPr="004B0BFA" w:rsidRDefault="008225AD" w:rsidP="008225AD">
      <w:pPr>
        <w:pStyle w:val="ListParagraph"/>
        <w:numPr>
          <w:ilvl w:val="0"/>
          <w:numId w:val="149"/>
        </w:numPr>
      </w:pPr>
      <w:r w:rsidRPr="004B0BFA">
        <w:t>To get closer to that ideal, estimated results:</w:t>
      </w:r>
    </w:p>
    <w:p w14:paraId="23A92729" w14:textId="77777777" w:rsidR="008225AD" w:rsidRPr="004B0BFA" w:rsidRDefault="008225AD" w:rsidP="008225AD">
      <w:pPr>
        <w:pStyle w:val="ListParagraph"/>
        <w:numPr>
          <w:ilvl w:val="1"/>
          <w:numId w:val="149"/>
        </w:numPr>
        <w:ind w:left="1080"/>
      </w:pPr>
      <w:r w:rsidRPr="004B0BFA">
        <w:t>Control for observed explanatory variables (e.g., gender, education, race, disability, local labor market conditions)</w:t>
      </w:r>
    </w:p>
    <w:p w14:paraId="2B501C2C" w14:textId="77777777" w:rsidR="008225AD" w:rsidRPr="004B0BFA" w:rsidRDefault="008225AD" w:rsidP="008225AD">
      <w:pPr>
        <w:pStyle w:val="ListParagraph"/>
        <w:numPr>
          <w:ilvl w:val="1"/>
          <w:numId w:val="149"/>
        </w:numPr>
        <w:ind w:left="1080"/>
      </w:pPr>
      <w:r w:rsidRPr="004B0BFA">
        <w:t>Partially control for “unobservable” explanatory variables (e.g., work ethic, family support) by using pre-VR employment and earnings as a “baseline”</w:t>
      </w:r>
    </w:p>
    <w:p w14:paraId="3B559A61" w14:textId="77777777" w:rsidR="008225AD" w:rsidRDefault="008225AD" w:rsidP="008225AD">
      <w:pPr>
        <w:pStyle w:val="ListParagraph"/>
        <w:numPr>
          <w:ilvl w:val="1"/>
          <w:numId w:val="149"/>
        </w:numPr>
        <w:ind w:left="1080"/>
      </w:pPr>
      <w:r w:rsidRPr="004B0BFA">
        <w:t>Employ state-of-the-science statistical controls to ensure that the outcomes are the result of VR rather than other factors. For a detailed discussion, see Dean, et al., 2015 through 2018.</w:t>
      </w:r>
    </w:p>
    <w:p w14:paraId="5E103F46" w14:textId="77777777" w:rsidR="008225AD" w:rsidRPr="004B0BFA" w:rsidRDefault="008225AD" w:rsidP="008225AD">
      <w:pPr>
        <w:pStyle w:val="ListParagraph"/>
        <w:ind w:left="1080"/>
      </w:pPr>
    </w:p>
    <w:p w14:paraId="30583793" w14:textId="77777777" w:rsidR="008225AD" w:rsidRPr="004B0BFA" w:rsidRDefault="008225AD" w:rsidP="008225AD">
      <w:r w:rsidRPr="004B0BFA">
        <w:t>How does the VR ROI approach affect estimates of VR service effects?</w:t>
      </w:r>
    </w:p>
    <w:p w14:paraId="4358BF65" w14:textId="77777777" w:rsidR="008225AD" w:rsidRPr="005835A3" w:rsidRDefault="008225AD" w:rsidP="008225AD">
      <w:pPr>
        <w:pStyle w:val="ListParagraph"/>
        <w:numPr>
          <w:ilvl w:val="0"/>
          <w:numId w:val="150"/>
        </w:numPr>
      </w:pPr>
      <w:r w:rsidRPr="004B0BFA">
        <w:t xml:space="preserve">Charts on next screen show effects estimated by a simple model that compares service recipients vs. non-recipients and those estimated by the VR ROI model that includes all 7 </w:t>
      </w:r>
      <w:proofErr w:type="gramStart"/>
      <w:r w:rsidRPr="004B0BFA">
        <w:t>features</w:t>
      </w:r>
      <w:proofErr w:type="gramEnd"/>
    </w:p>
    <w:p w14:paraId="018FFFA7" w14:textId="3743F7C1" w:rsidR="008225AD" w:rsidRDefault="008225AD" w:rsidP="008225AD">
      <w:pPr>
        <w:pStyle w:val="Heading2"/>
      </w:pPr>
      <w:r w:rsidRPr="004B0BFA">
        <w:t>Service Effects for People with Mental Illness (DARS SFY 2000 Applicants):</w:t>
      </w:r>
      <w:r>
        <w:t xml:space="preserve"> </w:t>
      </w:r>
      <w:r w:rsidRPr="004B0BFA">
        <w:t>Simple Comparisons vs. VRROI Model</w:t>
      </w:r>
    </w:p>
    <w:p w14:paraId="0C4F5AC0" w14:textId="77777777" w:rsidR="008225AD" w:rsidRDefault="008225AD" w:rsidP="008225AD">
      <w:proofErr w:type="gramStart"/>
      <w:r w:rsidRPr="004B0BFA">
        <w:t>Vertical</w:t>
      </w:r>
      <w:proofErr w:type="gramEnd"/>
      <w:r w:rsidRPr="004B0BFA">
        <w:t xml:space="preserve"> axis is the impact to employment and earnings.  Horizontal axis are different time periods.</w:t>
      </w:r>
    </w:p>
    <w:p w14:paraId="5B592A40" w14:textId="77777777" w:rsidR="008225AD" w:rsidRPr="004B0BFA" w:rsidRDefault="008225AD" w:rsidP="008225AD"/>
    <w:p w14:paraId="06B6CEEE" w14:textId="77777777" w:rsidR="008225AD" w:rsidRDefault="008225AD" w:rsidP="008225AD">
      <w:pPr>
        <w:tabs>
          <w:tab w:val="num" w:pos="720"/>
        </w:tabs>
      </w:pPr>
      <w:r w:rsidRPr="004B0BFA">
        <w:lastRenderedPageBreak/>
        <w:t>In the simple model services are estimated to raise employment but with lower earnings in those jobs. This indicates that the VR story is one of employment gains.</w:t>
      </w:r>
    </w:p>
    <w:p w14:paraId="2E2D2B06" w14:textId="77777777" w:rsidR="008225AD" w:rsidRPr="004B0BFA" w:rsidRDefault="008225AD" w:rsidP="008225AD">
      <w:pPr>
        <w:tabs>
          <w:tab w:val="num" w:pos="720"/>
        </w:tabs>
      </w:pPr>
    </w:p>
    <w:p w14:paraId="15D83F41" w14:textId="77777777" w:rsidR="008225AD" w:rsidRPr="004B0BFA" w:rsidRDefault="008225AD" w:rsidP="008225AD">
      <w:pPr>
        <w:tabs>
          <w:tab w:val="num" w:pos="720"/>
        </w:tabs>
      </w:pPr>
      <w:r w:rsidRPr="004B0BFA">
        <w:t xml:space="preserve">The VR-ROI model presents a very different and more nuanced picture: </w:t>
      </w:r>
    </w:p>
    <w:p w14:paraId="23FF4B53" w14:textId="77777777" w:rsidR="008225AD" w:rsidRPr="004B0BFA" w:rsidRDefault="008225AD" w:rsidP="008225AD">
      <w:pPr>
        <w:pStyle w:val="ListParagraph"/>
        <w:numPr>
          <w:ilvl w:val="0"/>
          <w:numId w:val="150"/>
        </w:numPr>
        <w:tabs>
          <w:tab w:val="num" w:pos="1440"/>
        </w:tabs>
      </w:pPr>
      <w:r w:rsidRPr="004B0BFA">
        <w:t xml:space="preserve">The earnings effects are strongly positive for all </w:t>
      </w:r>
      <w:proofErr w:type="gramStart"/>
      <w:r w:rsidRPr="004B0BFA">
        <w:t>services;</w:t>
      </w:r>
      <w:proofErr w:type="gramEnd"/>
    </w:p>
    <w:p w14:paraId="13F97729" w14:textId="77777777" w:rsidR="008225AD" w:rsidRPr="004B0BFA" w:rsidRDefault="008225AD" w:rsidP="008225AD">
      <w:pPr>
        <w:pStyle w:val="ListParagraph"/>
        <w:numPr>
          <w:ilvl w:val="0"/>
          <w:numId w:val="150"/>
        </w:numPr>
        <w:tabs>
          <w:tab w:val="num" w:pos="1440"/>
        </w:tabs>
      </w:pPr>
      <w:r w:rsidRPr="004B0BFA">
        <w:t xml:space="preserve">The employment effects are positive for some services but negative for others. </w:t>
      </w:r>
    </w:p>
    <w:p w14:paraId="4422178F" w14:textId="77777777" w:rsidR="008225AD" w:rsidRDefault="008225AD" w:rsidP="004B0BFA">
      <w:pPr>
        <w:spacing w:after="120" w:line="264" w:lineRule="auto"/>
        <w:rPr>
          <w:noProof/>
        </w:rPr>
      </w:pPr>
    </w:p>
    <w:p w14:paraId="547E4EA9" w14:textId="19E135F7" w:rsidR="00816C0D" w:rsidRPr="004B0BFA" w:rsidRDefault="00816C0D" w:rsidP="004B0BFA">
      <w:pPr>
        <w:spacing w:after="120" w:line="264" w:lineRule="auto"/>
        <w:rPr>
          <w:b/>
          <w:bCs/>
          <w:sz w:val="40"/>
          <w:szCs w:val="32"/>
        </w:rPr>
      </w:pPr>
      <w:r w:rsidRPr="00816C0D">
        <w:rPr>
          <w:b/>
          <w:bCs/>
          <w:sz w:val="40"/>
          <w:szCs w:val="32"/>
        </w:rPr>
        <w:drawing>
          <wp:inline distT="0" distB="0" distL="0" distR="0" wp14:anchorId="7DE63C1E" wp14:editId="09EE2589">
            <wp:extent cx="3609959" cy="2568102"/>
            <wp:effectExtent l="0" t="0" r="10160" b="3810"/>
            <wp:docPr id="2080504890" name="Chart 1" descr="Simple Model: Pre-Application, Short-Run, Long-Run Effects&#10;&#10;Pre-App&#10;Employment = -0.084&#10;Earnings = -0.006&#10;Short Run&#10;Employment = 0.089&#10;Earnings = -0.052&#10;Long Run&#10;Employment = 0.106&#10;Earnings = -0.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8225AD" w:rsidRPr="008225AD">
        <w:rPr>
          <w:noProof/>
        </w:rPr>
        <w:t xml:space="preserve"> </w:t>
      </w:r>
      <w:r w:rsidR="008225AD" w:rsidRPr="008225AD">
        <w:rPr>
          <w:b/>
          <w:bCs/>
          <w:sz w:val="40"/>
          <w:szCs w:val="32"/>
        </w:rPr>
        <w:drawing>
          <wp:inline distT="0" distB="0" distL="0" distR="0" wp14:anchorId="59D0CD32" wp14:editId="3CDE0A78">
            <wp:extent cx="3650176" cy="2597285"/>
            <wp:effectExtent l="0" t="0" r="7620" b="12700"/>
            <wp:docPr id="1781517653" name="Chart 1" descr="Long-Run (LR) Effects&#10;Diag:&#10;employment = -0.185&#10;Earnings = 0.035&#10;Train&#10;employment = 0.216&#10;Earnings = 0.125&#10;Educ&#10;employment = -0.045&#10;Earnings = 0.045&#10;Rstr&#10;employment = -0.051&#10;Earnings = 0.201&#10;Maint&#10;employment = -0.030&#10;Earnings = 0.225&#10;Other&#10;employment = 0.020&#10;Earnings = 0.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E2FE7C" w14:textId="77777777" w:rsidR="004B0BFA" w:rsidRPr="004B0BFA" w:rsidRDefault="004B0BFA" w:rsidP="00DF5A16">
      <w:pPr>
        <w:pStyle w:val="Heading2"/>
        <w:rPr>
          <w:sz w:val="28"/>
          <w:szCs w:val="22"/>
        </w:rPr>
      </w:pPr>
      <w:r w:rsidRPr="004B0BFA">
        <w:t>VR ROI Feature # 7 (1 of 4): Estimates Made at Individual Level</w:t>
      </w:r>
    </w:p>
    <w:p w14:paraId="3E499737" w14:textId="77777777" w:rsidR="004B0BFA" w:rsidRPr="004B0BFA" w:rsidRDefault="004B0BFA" w:rsidP="004D3B12">
      <w:pPr>
        <w:tabs>
          <w:tab w:val="num" w:pos="1440"/>
        </w:tabs>
      </w:pPr>
      <w:r w:rsidRPr="004B0BFA">
        <w:t>Review of material from Module 2</w:t>
      </w:r>
    </w:p>
    <w:p w14:paraId="283AED5A" w14:textId="77777777" w:rsidR="004B0BFA" w:rsidRPr="004B0BFA" w:rsidRDefault="004B0BFA" w:rsidP="00DF5A16">
      <w:pPr>
        <w:pStyle w:val="ListParagraph"/>
        <w:numPr>
          <w:ilvl w:val="0"/>
          <w:numId w:val="151"/>
        </w:numPr>
        <w:tabs>
          <w:tab w:val="num" w:pos="2160"/>
        </w:tabs>
      </w:pPr>
      <w:r w:rsidRPr="004B0BFA">
        <w:t xml:space="preserve">The model estimates employment &amp; earnings impacts as well as service costs at the individual </w:t>
      </w:r>
      <w:proofErr w:type="gramStart"/>
      <w:r w:rsidRPr="004B0BFA">
        <w:t>level</w:t>
      </w:r>
      <w:proofErr w:type="gramEnd"/>
    </w:p>
    <w:p w14:paraId="77B05D66" w14:textId="77777777" w:rsidR="004B0BFA" w:rsidRDefault="004B0BFA" w:rsidP="00DF5A16">
      <w:pPr>
        <w:pStyle w:val="ListParagraph"/>
        <w:numPr>
          <w:ilvl w:val="1"/>
          <w:numId w:val="151"/>
        </w:numPr>
        <w:tabs>
          <w:tab w:val="num" w:pos="2880"/>
        </w:tabs>
        <w:ind w:left="1080"/>
      </w:pPr>
      <w:r w:rsidRPr="004B0BFA">
        <w:lastRenderedPageBreak/>
        <w:t xml:space="preserve">Provides the flexibility to obtain ROI estimates for different client groups by “aggregating” them for the entire agency or by a </w:t>
      </w:r>
      <w:proofErr w:type="gramStart"/>
      <w:r w:rsidRPr="004B0BFA">
        <w:t>disability</w:t>
      </w:r>
      <w:proofErr w:type="gramEnd"/>
      <w:r w:rsidRPr="004B0BFA">
        <w:t xml:space="preserve"> </w:t>
      </w:r>
    </w:p>
    <w:p w14:paraId="73F1E4A1" w14:textId="77777777" w:rsidR="00BF6F4E" w:rsidRPr="004B0BFA" w:rsidRDefault="00BF6F4E" w:rsidP="00BF6F4E">
      <w:pPr>
        <w:tabs>
          <w:tab w:val="num" w:pos="2880"/>
        </w:tabs>
        <w:ind w:left="720"/>
      </w:pPr>
    </w:p>
    <w:p w14:paraId="43FC0BBD" w14:textId="77777777" w:rsidR="004B0BFA" w:rsidRPr="004B0BFA" w:rsidRDefault="004B0BFA" w:rsidP="004D3B12">
      <w:r w:rsidRPr="004B0BFA">
        <w:t>The next three slides use a cohort of SFY 2000 applicants to Virginia DARS and show ROI/ROR estimates for</w:t>
      </w:r>
    </w:p>
    <w:p w14:paraId="375B2AE7" w14:textId="77777777" w:rsidR="004B0BFA" w:rsidRPr="004B0BFA" w:rsidRDefault="004B0BFA" w:rsidP="00DF5A16">
      <w:pPr>
        <w:pStyle w:val="ListParagraph"/>
        <w:numPr>
          <w:ilvl w:val="0"/>
          <w:numId w:val="151"/>
        </w:numPr>
      </w:pPr>
      <w:r w:rsidRPr="004B0BFA">
        <w:t>PERT, a collaborative transition program in Virginia</w:t>
      </w:r>
    </w:p>
    <w:p w14:paraId="3F89A035" w14:textId="77777777" w:rsidR="004B0BFA" w:rsidRPr="004B0BFA" w:rsidRDefault="004B0BFA" w:rsidP="00DF5A16">
      <w:pPr>
        <w:pStyle w:val="ListParagraph"/>
        <w:numPr>
          <w:ilvl w:val="0"/>
          <w:numId w:val="151"/>
        </w:numPr>
      </w:pPr>
      <w:r w:rsidRPr="004B0BFA">
        <w:t>Agency-wide ROI for Virginia DARS</w:t>
      </w:r>
    </w:p>
    <w:p w14:paraId="1DD3E540" w14:textId="77777777" w:rsidR="004B0BFA" w:rsidRPr="004B0BFA" w:rsidRDefault="004B0BFA" w:rsidP="00DF5A16">
      <w:pPr>
        <w:pStyle w:val="ListParagraph"/>
        <w:numPr>
          <w:ilvl w:val="0"/>
          <w:numId w:val="151"/>
        </w:numPr>
      </w:pPr>
      <w:r w:rsidRPr="004B0BFA">
        <w:t>Three disability types among Virginia DARS applicants</w:t>
      </w:r>
    </w:p>
    <w:p w14:paraId="650E937A" w14:textId="77777777" w:rsidR="004B0BFA" w:rsidRPr="004B0BFA" w:rsidRDefault="004B0BFA" w:rsidP="003C1F17">
      <w:pPr>
        <w:pStyle w:val="Heading2"/>
      </w:pPr>
      <w:r w:rsidRPr="004B0BFA">
        <w:t>VR ROI Feature # 7 (2 of 4): ROI of a Collaborative Transition Program</w:t>
      </w:r>
    </w:p>
    <w:p w14:paraId="7B3C973E" w14:textId="77777777" w:rsidR="004B0BFA" w:rsidRPr="004B0BFA" w:rsidRDefault="004B0BFA" w:rsidP="004D3B12">
      <w:r w:rsidRPr="004B0BFA">
        <w:t>PERT (Post-secondary Education/Rehabilitation Transition) Program</w:t>
      </w:r>
    </w:p>
    <w:p w14:paraId="5E832340" w14:textId="77777777" w:rsidR="004B0BFA" w:rsidRPr="004B0BFA" w:rsidRDefault="004B0BFA" w:rsidP="005F3137">
      <w:pPr>
        <w:pStyle w:val="ListParagraph"/>
        <w:numPr>
          <w:ilvl w:val="0"/>
          <w:numId w:val="152"/>
        </w:numPr>
      </w:pPr>
      <w:r w:rsidRPr="004B0BFA">
        <w:t xml:space="preserve">Comprehensive career and independent living skills assessments at WWRC for high school students with disabilities who are selected by local school </w:t>
      </w:r>
      <w:proofErr w:type="gramStart"/>
      <w:r w:rsidRPr="004B0BFA">
        <w:t>divisions</w:t>
      </w:r>
      <w:proofErr w:type="gramEnd"/>
    </w:p>
    <w:p w14:paraId="67EC46A8" w14:textId="77777777" w:rsidR="004B0BFA" w:rsidRPr="004B0BFA" w:rsidRDefault="004B0BFA" w:rsidP="005F3137">
      <w:pPr>
        <w:pStyle w:val="ListParagraph"/>
        <w:numPr>
          <w:ilvl w:val="0"/>
          <w:numId w:val="152"/>
        </w:numPr>
      </w:pPr>
      <w:r w:rsidRPr="004B0BFA">
        <w:t>Community-based team implementation of assessment findings</w:t>
      </w:r>
    </w:p>
    <w:p w14:paraId="6E5F9743" w14:textId="77777777" w:rsidR="004B0BFA" w:rsidRDefault="004B0BFA" w:rsidP="005F3137">
      <w:pPr>
        <w:pStyle w:val="ListParagraph"/>
        <w:numPr>
          <w:ilvl w:val="0"/>
          <w:numId w:val="152"/>
        </w:numPr>
      </w:pPr>
      <w:r w:rsidRPr="004B0BFA">
        <w:t xml:space="preserve">Participants may receive additional VR services following PERT </w:t>
      </w:r>
      <w:proofErr w:type="gramStart"/>
      <w:r w:rsidRPr="004B0BFA">
        <w:t>participation</w:t>
      </w:r>
      <w:proofErr w:type="gramEnd"/>
    </w:p>
    <w:p w14:paraId="26C2E34E" w14:textId="77777777" w:rsidR="005F3137" w:rsidRPr="004B0BFA" w:rsidRDefault="005F3137" w:rsidP="005F3137"/>
    <w:p w14:paraId="643AC552" w14:textId="77777777" w:rsidR="004B0BFA" w:rsidRDefault="004B0BFA" w:rsidP="004D3B12">
      <w:r w:rsidRPr="004B0BFA">
        <w:t>WWRC used results from the VR-ROI model to develop the following graphic for discussion with families considering the PERT program.</w:t>
      </w:r>
    </w:p>
    <w:p w14:paraId="621037DB" w14:textId="77777777" w:rsidR="005F3137" w:rsidRPr="004B0BFA" w:rsidRDefault="005F3137" w:rsidP="004D3B12"/>
    <w:p w14:paraId="3DB0CEDA" w14:textId="77777777" w:rsidR="004B0BFA" w:rsidRPr="004B0BFA" w:rsidRDefault="004B0BFA" w:rsidP="004D3B12">
      <w:r w:rsidRPr="004B0BFA">
        <w:t>PERT Impact on Finding a Job and Income</w:t>
      </w:r>
    </w:p>
    <w:p w14:paraId="42FC68E5" w14:textId="77777777" w:rsidR="004B0BFA" w:rsidRPr="004B0BFA" w:rsidRDefault="004B0BFA" w:rsidP="005F3137">
      <w:pPr>
        <w:pStyle w:val="ListParagraph"/>
        <w:numPr>
          <w:ilvl w:val="0"/>
          <w:numId w:val="153"/>
        </w:numPr>
      </w:pPr>
      <w:r w:rsidRPr="004B0BFA">
        <w:t>Increases chances of finding and keeping a job by 12%</w:t>
      </w:r>
    </w:p>
    <w:p w14:paraId="68510204" w14:textId="77777777" w:rsidR="004B0BFA" w:rsidRPr="004B0BFA" w:rsidRDefault="004B0BFA" w:rsidP="005F3137">
      <w:pPr>
        <w:pStyle w:val="ListParagraph"/>
        <w:numPr>
          <w:ilvl w:val="0"/>
          <w:numId w:val="153"/>
        </w:numPr>
      </w:pPr>
      <w:r w:rsidRPr="004B0BFA">
        <w:t>Combined with one more year of education the chance of getting and keeping a job increases by 38%</w:t>
      </w:r>
    </w:p>
    <w:p w14:paraId="22CB004A" w14:textId="6030E07A" w:rsidR="004B0BFA" w:rsidRPr="004B0BFA" w:rsidRDefault="004B0BFA" w:rsidP="004D3B12">
      <w:pPr>
        <w:pStyle w:val="ListParagraph"/>
        <w:numPr>
          <w:ilvl w:val="0"/>
          <w:numId w:val="153"/>
        </w:numPr>
      </w:pPr>
      <w:r w:rsidRPr="004B0BFA">
        <w:t xml:space="preserve">After you find a job, participating in PERT will on average double the amount of a student’s earnings in the long </w:t>
      </w:r>
      <w:proofErr w:type="gramStart"/>
      <w:r w:rsidRPr="004B0BFA">
        <w:t>run</w:t>
      </w:r>
      <w:proofErr w:type="gramEnd"/>
      <w:r w:rsidRPr="004B0BFA">
        <w:t xml:space="preserve"> </w:t>
      </w:r>
    </w:p>
    <w:p w14:paraId="60D6E34F" w14:textId="77777777" w:rsidR="004B0BFA" w:rsidRPr="004B0BFA" w:rsidRDefault="004B0BFA" w:rsidP="003C1F17">
      <w:pPr>
        <w:pStyle w:val="Heading2"/>
      </w:pPr>
      <w:r w:rsidRPr="004B0BFA">
        <w:t>VR ROI Feature # 7 (3 of 4): Virginia DARS VR ROI “Elevator Speech”</w:t>
      </w:r>
    </w:p>
    <w:p w14:paraId="2EDB3208" w14:textId="77777777" w:rsidR="004B0BFA" w:rsidRPr="004B0BFA" w:rsidRDefault="004B0BFA" w:rsidP="004D3B12">
      <w:r w:rsidRPr="004B0BFA">
        <w:t>Individual estimates can be aggregated across disability and service types to calculate an agency-wide ROI.</w:t>
      </w:r>
    </w:p>
    <w:p w14:paraId="2A1B18B3" w14:textId="77777777" w:rsidR="004B0BFA" w:rsidRPr="004B0BFA" w:rsidRDefault="004B0BFA" w:rsidP="005F3137">
      <w:pPr>
        <w:pStyle w:val="ListParagraph"/>
        <w:numPr>
          <w:ilvl w:val="0"/>
          <w:numId w:val="154"/>
        </w:numPr>
      </w:pPr>
      <w:r w:rsidRPr="004B0BFA">
        <w:t>The following statement uses the “bang per buck” (benefit-to-cost) approach as discussed in the general ROI introduction above.</w:t>
      </w:r>
    </w:p>
    <w:p w14:paraId="6C8F62EA" w14:textId="77777777" w:rsidR="004B0BFA" w:rsidRDefault="004B0BFA" w:rsidP="005F3137">
      <w:pPr>
        <w:pStyle w:val="ListParagraph"/>
        <w:numPr>
          <w:ilvl w:val="0"/>
          <w:numId w:val="154"/>
        </w:numPr>
      </w:pPr>
      <w:r w:rsidRPr="004B0BFA">
        <w:lastRenderedPageBreak/>
        <w:t xml:space="preserve">The statement was written with state policy makers and other stakeholders in mind. </w:t>
      </w:r>
    </w:p>
    <w:p w14:paraId="7F40CD1A" w14:textId="77777777" w:rsidR="005F3137" w:rsidRPr="004B0BFA" w:rsidRDefault="005F3137" w:rsidP="005F3137">
      <w:pPr>
        <w:ind w:left="360"/>
      </w:pPr>
    </w:p>
    <w:p w14:paraId="545DE405" w14:textId="3166A47B" w:rsidR="004B0BFA" w:rsidRPr="004B0BFA" w:rsidRDefault="00461119" w:rsidP="005F3137">
      <w:r w:rsidRPr="004B0BFA">
        <w:t xml:space="preserve"> </w:t>
      </w:r>
      <w:r w:rsidR="004B0BFA" w:rsidRPr="004B0BFA">
        <w:t>“For those VR applicants in 2000 who received VR services, 80% enjoyed earnings gains that exceeded the cost of their VR. For every $1,000 spent by DARS, the average (median) consumer earned $7,100 more over 10 years than they would have earned without VR services... And the top 10% earned $45,100 (or more) over the same period.”</w:t>
      </w:r>
    </w:p>
    <w:p w14:paraId="31017EAA" w14:textId="77777777" w:rsidR="004B0BFA" w:rsidRDefault="004B0BFA" w:rsidP="003C1F17">
      <w:pPr>
        <w:pStyle w:val="Heading2"/>
      </w:pPr>
      <w:r w:rsidRPr="004B0BFA">
        <w:t>VR – ROI Feature # 7 (4 of 4): Annualized ROR (IRR) by Disability Group</w:t>
      </w:r>
    </w:p>
    <w:p w14:paraId="2C06DB87" w14:textId="77777777" w:rsidR="00951CD2" w:rsidRPr="004B0BFA" w:rsidRDefault="00951CD2" w:rsidP="00951CD2">
      <w:r w:rsidRPr="004B0BFA">
        <w:t>10-Year Rates of Return (Annualized) − Virginia DARS, SFY 2000 Applicants</w:t>
      </w:r>
    </w:p>
    <w:p w14:paraId="2B6DBD60" w14:textId="77777777" w:rsidR="00951CD2" w:rsidRPr="00951CD2" w:rsidRDefault="00951CD2" w:rsidP="00951CD2"/>
    <w:tbl>
      <w:tblPr>
        <w:tblpPr w:leftFromText="180" w:rightFromText="180" w:vertAnchor="text" w:horzAnchor="margin" w:tblpY="51"/>
        <w:tblW w:w="10123" w:type="dxa"/>
        <w:tblCellMar>
          <w:left w:w="0" w:type="dxa"/>
          <w:right w:w="0" w:type="dxa"/>
        </w:tblCellMar>
        <w:tblLook w:val="0420" w:firstRow="1" w:lastRow="0" w:firstColumn="0" w:lastColumn="0" w:noHBand="0" w:noVBand="1"/>
      </w:tblPr>
      <w:tblGrid>
        <w:gridCol w:w="3805"/>
        <w:gridCol w:w="1499"/>
        <w:gridCol w:w="1491"/>
        <w:gridCol w:w="1664"/>
        <w:gridCol w:w="1664"/>
      </w:tblGrid>
      <w:tr w:rsidR="00461119" w:rsidRPr="00461119" w14:paraId="4811E4A0" w14:textId="77777777" w:rsidTr="00461119">
        <w:trPr>
          <w:trHeight w:val="1258"/>
        </w:trPr>
        <w:tc>
          <w:tcPr>
            <w:tcW w:w="380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01B80441" w14:textId="77777777" w:rsidR="00461119" w:rsidRPr="00461119" w:rsidRDefault="00461119" w:rsidP="00461119">
            <w:pPr>
              <w:spacing w:line="240" w:lineRule="auto"/>
            </w:pPr>
          </w:p>
        </w:tc>
        <w:tc>
          <w:tcPr>
            <w:tcW w:w="149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0B87EC6F" w14:textId="77777777" w:rsidR="00461119" w:rsidRPr="00461119" w:rsidRDefault="00461119" w:rsidP="00461119">
            <w:pPr>
              <w:spacing w:line="240" w:lineRule="auto"/>
              <w:rPr>
                <w:color w:val="FFFFFF" w:themeColor="background1"/>
              </w:rPr>
            </w:pPr>
            <w:r w:rsidRPr="00461119">
              <w:rPr>
                <w:b/>
                <w:bCs/>
                <w:color w:val="FFFFFF" w:themeColor="background1"/>
              </w:rPr>
              <w:t>Mental Illness (MI)</w:t>
            </w:r>
          </w:p>
        </w:tc>
        <w:tc>
          <w:tcPr>
            <w:tcW w:w="14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7886285A" w14:textId="77777777" w:rsidR="00461119" w:rsidRPr="00461119" w:rsidRDefault="00461119" w:rsidP="00461119">
            <w:pPr>
              <w:spacing w:line="240" w:lineRule="auto"/>
              <w:rPr>
                <w:color w:val="FFFFFF" w:themeColor="background1"/>
              </w:rPr>
            </w:pPr>
            <w:r w:rsidRPr="00461119">
              <w:rPr>
                <w:b/>
                <w:bCs/>
                <w:color w:val="FFFFFF" w:themeColor="background1"/>
              </w:rPr>
              <w:t>MI (</w:t>
            </w:r>
            <w:proofErr w:type="gramStart"/>
            <w:r w:rsidRPr="00461119">
              <w:rPr>
                <w:b/>
                <w:bCs/>
                <w:color w:val="FFFFFF" w:themeColor="background1"/>
              </w:rPr>
              <w:t>no  D</w:t>
            </w:r>
            <w:proofErr w:type="gramEnd"/>
            <w:r w:rsidRPr="00461119">
              <w:rPr>
                <w:b/>
                <w:bCs/>
                <w:color w:val="FFFFFF" w:themeColor="background1"/>
              </w:rPr>
              <w:t>&amp;E*)</w:t>
            </w:r>
          </w:p>
        </w:tc>
        <w:tc>
          <w:tcPr>
            <w:tcW w:w="166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4DC70736" w14:textId="77777777" w:rsidR="00461119" w:rsidRPr="00461119" w:rsidRDefault="00461119" w:rsidP="00461119">
            <w:pPr>
              <w:spacing w:line="240" w:lineRule="auto"/>
              <w:rPr>
                <w:color w:val="FFFFFF" w:themeColor="background1"/>
              </w:rPr>
            </w:pPr>
            <w:r w:rsidRPr="00461119">
              <w:rPr>
                <w:b/>
                <w:bCs/>
                <w:color w:val="FFFFFF" w:themeColor="background1"/>
              </w:rPr>
              <w:t>Cognitive Impairment</w:t>
            </w:r>
          </w:p>
        </w:tc>
        <w:tc>
          <w:tcPr>
            <w:tcW w:w="166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676C7D5A" w14:textId="77777777" w:rsidR="00461119" w:rsidRPr="00461119" w:rsidRDefault="00461119" w:rsidP="00461119">
            <w:pPr>
              <w:spacing w:line="240" w:lineRule="auto"/>
              <w:rPr>
                <w:color w:val="FFFFFF" w:themeColor="background1"/>
              </w:rPr>
            </w:pPr>
            <w:r w:rsidRPr="00461119">
              <w:rPr>
                <w:b/>
                <w:bCs/>
                <w:color w:val="FFFFFF" w:themeColor="background1"/>
              </w:rPr>
              <w:t>Physical Impairment</w:t>
            </w:r>
          </w:p>
        </w:tc>
      </w:tr>
      <w:tr w:rsidR="00461119" w:rsidRPr="00461119" w14:paraId="4C7A9928" w14:textId="77777777" w:rsidTr="00461119">
        <w:trPr>
          <w:trHeight w:val="781"/>
        </w:trPr>
        <w:tc>
          <w:tcPr>
            <w:tcW w:w="3805" w:type="dxa"/>
            <w:tcBorders>
              <w:top w:val="single" w:sz="24" w:space="0" w:color="FFFFFF"/>
              <w:left w:val="single" w:sz="8" w:space="0" w:color="FFFFFF"/>
              <w:bottom w:val="single" w:sz="8" w:space="0" w:color="FFFFFF"/>
              <w:right w:val="single" w:sz="8" w:space="0" w:color="FFFFFF"/>
            </w:tcBorders>
            <w:shd w:val="clear" w:color="auto" w:fill="D0CEE8"/>
            <w:tcMar>
              <w:top w:w="72" w:type="dxa"/>
              <w:left w:w="144" w:type="dxa"/>
              <w:bottom w:w="72" w:type="dxa"/>
              <w:right w:w="144" w:type="dxa"/>
            </w:tcMar>
            <w:vAlign w:val="center"/>
            <w:hideMark/>
          </w:tcPr>
          <w:p w14:paraId="717C9C6C" w14:textId="77777777" w:rsidR="00461119" w:rsidRPr="00461119" w:rsidRDefault="00461119" w:rsidP="00461119">
            <w:pPr>
              <w:spacing w:line="240" w:lineRule="auto"/>
            </w:pPr>
            <w:r w:rsidRPr="00461119">
              <w:t>% with Negative ROR</w:t>
            </w:r>
          </w:p>
        </w:tc>
        <w:tc>
          <w:tcPr>
            <w:tcW w:w="1499" w:type="dxa"/>
            <w:tcBorders>
              <w:top w:val="single" w:sz="24" w:space="0" w:color="FFFFFF"/>
              <w:left w:val="single" w:sz="8" w:space="0" w:color="FFFFFF"/>
              <w:bottom w:val="single" w:sz="8" w:space="0" w:color="FFFFFF"/>
              <w:right w:val="single" w:sz="8" w:space="0" w:color="FFFFFF"/>
            </w:tcBorders>
            <w:shd w:val="clear" w:color="auto" w:fill="D0CEE8"/>
            <w:tcMar>
              <w:top w:w="72" w:type="dxa"/>
              <w:left w:w="144" w:type="dxa"/>
              <w:bottom w:w="72" w:type="dxa"/>
              <w:right w:w="144" w:type="dxa"/>
            </w:tcMar>
            <w:vAlign w:val="center"/>
            <w:hideMark/>
          </w:tcPr>
          <w:p w14:paraId="5489D451" w14:textId="77777777" w:rsidR="00461119" w:rsidRPr="00461119" w:rsidRDefault="00461119" w:rsidP="00461119">
            <w:pPr>
              <w:spacing w:line="240" w:lineRule="auto"/>
            </w:pPr>
            <w:r w:rsidRPr="00461119">
              <w:t>45%</w:t>
            </w:r>
          </w:p>
        </w:tc>
        <w:tc>
          <w:tcPr>
            <w:tcW w:w="1491" w:type="dxa"/>
            <w:tcBorders>
              <w:top w:val="single" w:sz="24" w:space="0" w:color="FFFFFF"/>
              <w:left w:val="single" w:sz="8" w:space="0" w:color="FFFFFF"/>
              <w:bottom w:val="single" w:sz="8" w:space="0" w:color="FFFFFF"/>
              <w:right w:val="single" w:sz="8" w:space="0" w:color="FFFFFF"/>
            </w:tcBorders>
            <w:shd w:val="clear" w:color="auto" w:fill="D0CEE8"/>
            <w:tcMar>
              <w:top w:w="72" w:type="dxa"/>
              <w:left w:w="144" w:type="dxa"/>
              <w:bottom w:w="72" w:type="dxa"/>
              <w:right w:w="144" w:type="dxa"/>
            </w:tcMar>
            <w:vAlign w:val="center"/>
            <w:hideMark/>
          </w:tcPr>
          <w:p w14:paraId="46A315A5" w14:textId="77777777" w:rsidR="00461119" w:rsidRPr="00461119" w:rsidRDefault="00461119" w:rsidP="00461119">
            <w:pPr>
              <w:spacing w:line="240" w:lineRule="auto"/>
            </w:pPr>
            <w:r w:rsidRPr="00461119">
              <w:t xml:space="preserve">  7%</w:t>
            </w:r>
          </w:p>
        </w:tc>
        <w:tc>
          <w:tcPr>
            <w:tcW w:w="1664" w:type="dxa"/>
            <w:tcBorders>
              <w:top w:val="single" w:sz="24" w:space="0" w:color="FFFFFF"/>
              <w:left w:val="single" w:sz="8" w:space="0" w:color="FFFFFF"/>
              <w:bottom w:val="single" w:sz="8" w:space="0" w:color="FFFFFF"/>
              <w:right w:val="single" w:sz="8" w:space="0" w:color="FFFFFF"/>
            </w:tcBorders>
            <w:shd w:val="clear" w:color="auto" w:fill="D0CEE8"/>
            <w:tcMar>
              <w:top w:w="72" w:type="dxa"/>
              <w:left w:w="144" w:type="dxa"/>
              <w:bottom w:w="72" w:type="dxa"/>
              <w:right w:w="144" w:type="dxa"/>
            </w:tcMar>
            <w:vAlign w:val="center"/>
            <w:hideMark/>
          </w:tcPr>
          <w:p w14:paraId="79823C32" w14:textId="77777777" w:rsidR="00461119" w:rsidRPr="00461119" w:rsidRDefault="00461119" w:rsidP="00461119">
            <w:pPr>
              <w:spacing w:line="240" w:lineRule="auto"/>
            </w:pPr>
            <w:r w:rsidRPr="00461119">
              <w:t xml:space="preserve">  21%</w:t>
            </w:r>
          </w:p>
        </w:tc>
        <w:tc>
          <w:tcPr>
            <w:tcW w:w="1664" w:type="dxa"/>
            <w:tcBorders>
              <w:top w:val="single" w:sz="24" w:space="0" w:color="FFFFFF"/>
              <w:left w:val="single" w:sz="8" w:space="0" w:color="FFFFFF"/>
              <w:bottom w:val="single" w:sz="8" w:space="0" w:color="FFFFFF"/>
              <w:right w:val="single" w:sz="8" w:space="0" w:color="FFFFFF"/>
            </w:tcBorders>
            <w:shd w:val="clear" w:color="auto" w:fill="D0CEE8"/>
            <w:tcMar>
              <w:top w:w="72" w:type="dxa"/>
              <w:left w:w="144" w:type="dxa"/>
              <w:bottom w:w="72" w:type="dxa"/>
              <w:right w:w="144" w:type="dxa"/>
            </w:tcMar>
            <w:vAlign w:val="center"/>
            <w:hideMark/>
          </w:tcPr>
          <w:p w14:paraId="144C4187" w14:textId="77777777" w:rsidR="00461119" w:rsidRPr="00461119" w:rsidRDefault="00461119" w:rsidP="00461119">
            <w:pPr>
              <w:spacing w:line="240" w:lineRule="auto"/>
            </w:pPr>
            <w:r w:rsidRPr="00461119">
              <w:t>2%</w:t>
            </w:r>
          </w:p>
        </w:tc>
      </w:tr>
      <w:tr w:rsidR="00461119" w:rsidRPr="00461119" w14:paraId="0A8D2821" w14:textId="77777777" w:rsidTr="00461119">
        <w:trPr>
          <w:trHeight w:val="628"/>
        </w:trPr>
        <w:tc>
          <w:tcPr>
            <w:tcW w:w="380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6526774" w14:textId="77777777" w:rsidR="00461119" w:rsidRPr="00461119" w:rsidRDefault="00461119" w:rsidP="00461119">
            <w:pPr>
              <w:spacing w:line="240" w:lineRule="auto"/>
            </w:pPr>
            <w:r w:rsidRPr="00461119">
              <w:t>ROR at Median</w:t>
            </w:r>
          </w:p>
        </w:tc>
        <w:tc>
          <w:tcPr>
            <w:tcW w:w="14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2579166" w14:textId="77777777" w:rsidR="00461119" w:rsidRPr="00461119" w:rsidRDefault="00461119" w:rsidP="00461119">
            <w:pPr>
              <w:spacing w:line="240" w:lineRule="auto"/>
            </w:pPr>
            <w:r w:rsidRPr="00461119">
              <w:t xml:space="preserve">  3%</w:t>
            </w:r>
          </w:p>
        </w:tc>
        <w:tc>
          <w:tcPr>
            <w:tcW w:w="14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471E21A" w14:textId="77777777" w:rsidR="00461119" w:rsidRPr="00461119" w:rsidRDefault="00461119" w:rsidP="00461119">
            <w:pPr>
              <w:spacing w:line="240" w:lineRule="auto"/>
            </w:pPr>
            <w:r w:rsidRPr="00461119">
              <w:t>40%</w:t>
            </w:r>
          </w:p>
        </w:tc>
        <w:tc>
          <w:tcPr>
            <w:tcW w:w="166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FFBD696" w14:textId="77777777" w:rsidR="00461119" w:rsidRPr="00461119" w:rsidRDefault="00461119" w:rsidP="00461119">
            <w:pPr>
              <w:spacing w:line="240" w:lineRule="auto"/>
            </w:pPr>
            <w:r w:rsidRPr="00461119">
              <w:t xml:space="preserve">  35%</w:t>
            </w:r>
          </w:p>
        </w:tc>
        <w:tc>
          <w:tcPr>
            <w:tcW w:w="166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B641BD9" w14:textId="77777777" w:rsidR="00461119" w:rsidRPr="00461119" w:rsidRDefault="00461119" w:rsidP="00461119">
            <w:pPr>
              <w:spacing w:line="240" w:lineRule="auto"/>
            </w:pPr>
            <w:r w:rsidRPr="00461119">
              <w:t>141%</w:t>
            </w:r>
          </w:p>
        </w:tc>
      </w:tr>
      <w:tr w:rsidR="00461119" w:rsidRPr="00461119" w14:paraId="1F14B29D" w14:textId="77777777" w:rsidTr="00461119">
        <w:trPr>
          <w:trHeight w:val="758"/>
        </w:trPr>
        <w:tc>
          <w:tcPr>
            <w:tcW w:w="3805" w:type="dxa"/>
            <w:tcBorders>
              <w:top w:val="single" w:sz="8" w:space="0" w:color="FFFFFF"/>
              <w:left w:val="single" w:sz="8" w:space="0" w:color="FFFFFF"/>
              <w:bottom w:val="single" w:sz="8" w:space="0" w:color="FFFFFF"/>
              <w:right w:val="single" w:sz="8" w:space="0" w:color="FFFFFF"/>
            </w:tcBorders>
            <w:shd w:val="clear" w:color="auto" w:fill="D0CEE8"/>
            <w:tcMar>
              <w:top w:w="72" w:type="dxa"/>
              <w:left w:w="144" w:type="dxa"/>
              <w:bottom w:w="72" w:type="dxa"/>
              <w:right w:w="144" w:type="dxa"/>
            </w:tcMar>
            <w:vAlign w:val="center"/>
            <w:hideMark/>
          </w:tcPr>
          <w:p w14:paraId="64493AB9" w14:textId="77777777" w:rsidR="00461119" w:rsidRPr="00461119" w:rsidRDefault="00461119" w:rsidP="00461119">
            <w:pPr>
              <w:spacing w:line="240" w:lineRule="auto"/>
            </w:pPr>
            <w:r w:rsidRPr="00461119">
              <w:t>90</w:t>
            </w:r>
            <w:r w:rsidRPr="00461119">
              <w:rPr>
                <w:vertAlign w:val="superscript"/>
              </w:rPr>
              <w:t>th</w:t>
            </w:r>
            <w:r w:rsidRPr="00461119">
              <w:t xml:space="preserve"> Percentile</w:t>
            </w:r>
          </w:p>
        </w:tc>
        <w:tc>
          <w:tcPr>
            <w:tcW w:w="1499" w:type="dxa"/>
            <w:tcBorders>
              <w:top w:val="single" w:sz="8" w:space="0" w:color="FFFFFF"/>
              <w:left w:val="single" w:sz="8" w:space="0" w:color="FFFFFF"/>
              <w:bottom w:val="single" w:sz="8" w:space="0" w:color="FFFFFF"/>
              <w:right w:val="single" w:sz="8" w:space="0" w:color="FFFFFF"/>
            </w:tcBorders>
            <w:shd w:val="clear" w:color="auto" w:fill="D0CEE8"/>
            <w:tcMar>
              <w:top w:w="72" w:type="dxa"/>
              <w:left w:w="144" w:type="dxa"/>
              <w:bottom w:w="72" w:type="dxa"/>
              <w:right w:w="144" w:type="dxa"/>
            </w:tcMar>
            <w:vAlign w:val="center"/>
            <w:hideMark/>
          </w:tcPr>
          <w:p w14:paraId="685EC902" w14:textId="77777777" w:rsidR="00461119" w:rsidRPr="00461119" w:rsidRDefault="00461119" w:rsidP="00461119">
            <w:pPr>
              <w:spacing w:line="240" w:lineRule="auto"/>
            </w:pPr>
            <w:r w:rsidRPr="00461119">
              <w:t>52%</w:t>
            </w:r>
          </w:p>
        </w:tc>
        <w:tc>
          <w:tcPr>
            <w:tcW w:w="1491" w:type="dxa"/>
            <w:tcBorders>
              <w:top w:val="single" w:sz="8" w:space="0" w:color="FFFFFF"/>
              <w:left w:val="single" w:sz="8" w:space="0" w:color="FFFFFF"/>
              <w:bottom w:val="single" w:sz="8" w:space="0" w:color="FFFFFF"/>
              <w:right w:val="single" w:sz="8" w:space="0" w:color="FFFFFF"/>
            </w:tcBorders>
            <w:shd w:val="clear" w:color="auto" w:fill="D0CEE8"/>
            <w:tcMar>
              <w:top w:w="72" w:type="dxa"/>
              <w:left w:w="144" w:type="dxa"/>
              <w:bottom w:w="72" w:type="dxa"/>
              <w:right w:w="144" w:type="dxa"/>
            </w:tcMar>
            <w:vAlign w:val="center"/>
            <w:hideMark/>
          </w:tcPr>
          <w:p w14:paraId="175250F5" w14:textId="77777777" w:rsidR="00461119" w:rsidRPr="00461119" w:rsidRDefault="00461119" w:rsidP="00461119">
            <w:pPr>
              <w:spacing w:line="240" w:lineRule="auto"/>
            </w:pPr>
            <w:r w:rsidRPr="00461119">
              <w:t>97%</w:t>
            </w:r>
          </w:p>
        </w:tc>
        <w:tc>
          <w:tcPr>
            <w:tcW w:w="1664" w:type="dxa"/>
            <w:tcBorders>
              <w:top w:val="single" w:sz="8" w:space="0" w:color="FFFFFF"/>
              <w:left w:val="single" w:sz="8" w:space="0" w:color="FFFFFF"/>
              <w:bottom w:val="single" w:sz="8" w:space="0" w:color="FFFFFF"/>
              <w:right w:val="single" w:sz="8" w:space="0" w:color="FFFFFF"/>
            </w:tcBorders>
            <w:shd w:val="clear" w:color="auto" w:fill="D0CEE8"/>
            <w:tcMar>
              <w:top w:w="72" w:type="dxa"/>
              <w:left w:w="144" w:type="dxa"/>
              <w:bottom w:w="72" w:type="dxa"/>
              <w:right w:w="144" w:type="dxa"/>
            </w:tcMar>
            <w:vAlign w:val="center"/>
            <w:hideMark/>
          </w:tcPr>
          <w:p w14:paraId="4BF88AD0" w14:textId="77777777" w:rsidR="00461119" w:rsidRPr="00461119" w:rsidRDefault="00461119" w:rsidP="00461119">
            <w:pPr>
              <w:spacing w:line="240" w:lineRule="auto"/>
            </w:pPr>
            <w:r w:rsidRPr="00461119">
              <w:t>195%</w:t>
            </w:r>
          </w:p>
        </w:tc>
        <w:tc>
          <w:tcPr>
            <w:tcW w:w="1664" w:type="dxa"/>
            <w:tcBorders>
              <w:top w:val="single" w:sz="8" w:space="0" w:color="FFFFFF"/>
              <w:left w:val="single" w:sz="8" w:space="0" w:color="FFFFFF"/>
              <w:bottom w:val="single" w:sz="8" w:space="0" w:color="FFFFFF"/>
              <w:right w:val="single" w:sz="8" w:space="0" w:color="FFFFFF"/>
            </w:tcBorders>
            <w:shd w:val="clear" w:color="auto" w:fill="D0CEE8"/>
            <w:tcMar>
              <w:top w:w="72" w:type="dxa"/>
              <w:left w:w="144" w:type="dxa"/>
              <w:bottom w:w="72" w:type="dxa"/>
              <w:right w:w="144" w:type="dxa"/>
            </w:tcMar>
            <w:vAlign w:val="center"/>
            <w:hideMark/>
          </w:tcPr>
          <w:p w14:paraId="18F2362A" w14:textId="77777777" w:rsidR="00461119" w:rsidRPr="00461119" w:rsidRDefault="00461119" w:rsidP="00461119">
            <w:pPr>
              <w:spacing w:line="240" w:lineRule="auto"/>
            </w:pPr>
            <w:r w:rsidRPr="00461119">
              <w:t>255%</w:t>
            </w:r>
          </w:p>
        </w:tc>
      </w:tr>
    </w:tbl>
    <w:p w14:paraId="2FFFA645" w14:textId="77777777" w:rsidR="00951CD2" w:rsidRDefault="00951CD2" w:rsidP="00951CD2"/>
    <w:p w14:paraId="2310AD12" w14:textId="757BF8AB" w:rsidR="004B0BFA" w:rsidRPr="00951CD2" w:rsidRDefault="004B0BFA" w:rsidP="00951CD2">
      <w:r w:rsidRPr="004B0BFA">
        <w:t>*Diagnostic &amp; Evaluation services; see explanation on next slide</w:t>
      </w:r>
    </w:p>
    <w:p w14:paraId="51CC5053" w14:textId="77777777" w:rsidR="004B0BFA" w:rsidRPr="004B0BFA" w:rsidRDefault="004B0BFA" w:rsidP="003C1F17">
      <w:pPr>
        <w:pStyle w:val="Heading2"/>
      </w:pPr>
      <w:r w:rsidRPr="004B0BFA">
        <w:t>Annualized ROR by Disability Group: Discussion</w:t>
      </w:r>
    </w:p>
    <w:p w14:paraId="26325041" w14:textId="77777777" w:rsidR="004B0BFA" w:rsidRPr="004B0BFA" w:rsidRDefault="004B0BFA" w:rsidP="004D3B12">
      <w:r w:rsidRPr="004B0BFA">
        <w:t>The table on the previous slide uses the Internal Rate-of-Return (IRR or ROR) approach as discussed in Module 1.</w:t>
      </w:r>
    </w:p>
    <w:p w14:paraId="733D87C1" w14:textId="77777777" w:rsidR="004B0BFA" w:rsidRPr="004B0BFA" w:rsidRDefault="004B0BFA" w:rsidP="00533945">
      <w:pPr>
        <w:pStyle w:val="ListParagraph"/>
        <w:numPr>
          <w:ilvl w:val="0"/>
          <w:numId w:val="155"/>
        </w:numPr>
      </w:pPr>
      <w:r w:rsidRPr="004B0BFA">
        <w:t>These RORs combine benefits and costs for all services a customer receives.</w:t>
      </w:r>
    </w:p>
    <w:p w14:paraId="1A8DF585" w14:textId="77777777" w:rsidR="004B0BFA" w:rsidRPr="004B0BFA" w:rsidRDefault="004B0BFA" w:rsidP="00533945">
      <w:pPr>
        <w:pStyle w:val="ListParagraph"/>
        <w:numPr>
          <w:ilvl w:val="0"/>
          <w:numId w:val="155"/>
        </w:numPr>
      </w:pPr>
      <w:r w:rsidRPr="004B0BFA">
        <w:t>A positive value implies benefits of VR services exceed their costs.</w:t>
      </w:r>
    </w:p>
    <w:p w14:paraId="5310B347" w14:textId="77777777" w:rsidR="004B0BFA" w:rsidRDefault="004B0BFA" w:rsidP="00533945">
      <w:pPr>
        <w:pStyle w:val="ListParagraph"/>
        <w:numPr>
          <w:ilvl w:val="0"/>
          <w:numId w:val="155"/>
        </w:numPr>
      </w:pPr>
      <w:r w:rsidRPr="004B0BFA">
        <w:t>As discussed in Module 1, might compare these RORs to current interest rates for money market accounts or the long-term average ROR for the U.S. stock market.</w:t>
      </w:r>
    </w:p>
    <w:p w14:paraId="3077CB1E" w14:textId="77777777" w:rsidR="00533945" w:rsidRPr="004B0BFA" w:rsidRDefault="00533945" w:rsidP="00533945">
      <w:pPr>
        <w:ind w:left="360"/>
      </w:pPr>
    </w:p>
    <w:p w14:paraId="070C3D36" w14:textId="18C72C74" w:rsidR="004B0BFA" w:rsidRPr="004B0BFA" w:rsidRDefault="004B0BFA" w:rsidP="00533945">
      <w:r w:rsidRPr="004B0BFA">
        <w:lastRenderedPageBreak/>
        <w:t>Given the anomalous results for Diagnostic &amp; Evaluation services in the MI cohort (see slide 16), the table provides a second set of ROR results that excludes D&amp;E in the calculation. Readers can focus on the set of ROR results they believe to be most appropriate.</w:t>
      </w:r>
    </w:p>
    <w:p w14:paraId="7B94EE2C" w14:textId="77777777" w:rsidR="004B0BFA" w:rsidRPr="004B0BFA" w:rsidRDefault="004B0BFA" w:rsidP="003C1F17">
      <w:pPr>
        <w:pStyle w:val="Heading2"/>
      </w:pPr>
      <w:r w:rsidRPr="004B0BFA">
        <w:t>Conclusion</w:t>
      </w:r>
    </w:p>
    <w:p w14:paraId="32C9436E" w14:textId="52090BFB" w:rsidR="00533945" w:rsidRPr="004B0BFA" w:rsidRDefault="004B0BFA" w:rsidP="004D3B12">
      <w:r w:rsidRPr="004B0BFA">
        <w:t>You have now completed Lesson 3 of this primer.</w:t>
      </w:r>
    </w:p>
    <w:p w14:paraId="6A06DFEB" w14:textId="518B3543" w:rsidR="004B0BFA" w:rsidRPr="004B0BFA" w:rsidRDefault="004B0BFA" w:rsidP="00533945">
      <w:r w:rsidRPr="004B0BFA">
        <w:t>Please contact us if you require additional information!</w:t>
      </w:r>
    </w:p>
    <w:p w14:paraId="24C93209" w14:textId="77777777" w:rsidR="004B0BFA" w:rsidRPr="004B0BFA" w:rsidRDefault="004B0BFA" w:rsidP="003C1F17">
      <w:pPr>
        <w:pStyle w:val="Heading2"/>
      </w:pPr>
      <w:r w:rsidRPr="004B0BFA">
        <w:t>References (1 of 2)</w:t>
      </w:r>
    </w:p>
    <w:p w14:paraId="559139D1" w14:textId="77777777" w:rsidR="004B0BFA" w:rsidRPr="004B0BFA" w:rsidRDefault="004B0BFA" w:rsidP="004D3B12">
      <w:r w:rsidRPr="004B0BFA">
        <w:t>Additional information about PERT and its evaluation.</w:t>
      </w:r>
    </w:p>
    <w:p w14:paraId="3F63E9C2" w14:textId="77777777" w:rsidR="004B0BFA" w:rsidRPr="004B0BFA" w:rsidRDefault="004B0BFA" w:rsidP="00533945">
      <w:pPr>
        <w:pStyle w:val="ListParagraph"/>
        <w:numPr>
          <w:ilvl w:val="0"/>
          <w:numId w:val="156"/>
        </w:numPr>
      </w:pPr>
      <w:r w:rsidRPr="004B0BFA">
        <w:t>Ashley, J., Dean, D., Rowe, K., &amp; Schmidt, R. (2006). “The Long-Term Impact of Comprehensive Vocational Assessment for Youth with Disabilities in Transition: Evaluation of Virginia’s Post-Secondary Education/Rehabilitation Transition (PERT) Program.” Vocational Evaluation and Career Assessments Professionals Journal, 2(2), 14-32.</w:t>
      </w:r>
    </w:p>
    <w:p w14:paraId="0F6E5DA6" w14:textId="4B67115D" w:rsidR="004B0BFA" w:rsidRPr="004B0BFA" w:rsidRDefault="004B0BFA" w:rsidP="004D3B12">
      <w:pPr>
        <w:pStyle w:val="ListParagraph"/>
        <w:numPr>
          <w:ilvl w:val="0"/>
          <w:numId w:val="156"/>
        </w:numPr>
      </w:pPr>
      <w:r w:rsidRPr="004B0BFA">
        <w:t xml:space="preserve">Ashley, J. &amp; Schmidt, R. (2016). “Investing in Career Opportunities for Youths with Disabilities.” Presentation to the Torch Club of Richmond, VA.  PowerPoint found at </w:t>
      </w:r>
      <w:hyperlink r:id="rId26" w:history="1">
        <w:r w:rsidRPr="00533945">
          <w:rPr>
            <w:rStyle w:val="Hyperlink"/>
            <w:b/>
            <w:bCs/>
            <w:color w:val="254264" w:themeColor="accent6"/>
          </w:rPr>
          <w:t>vroi.org/resources</w:t>
        </w:r>
      </w:hyperlink>
    </w:p>
    <w:p w14:paraId="180B57D7" w14:textId="77777777" w:rsidR="004B0BFA" w:rsidRPr="004B0BFA" w:rsidRDefault="004B0BFA" w:rsidP="003C1F17">
      <w:pPr>
        <w:pStyle w:val="Heading2"/>
      </w:pPr>
      <w:r w:rsidRPr="004B0BFA">
        <w:t>References (2 of 2)</w:t>
      </w:r>
    </w:p>
    <w:p w14:paraId="06357EDE" w14:textId="77777777" w:rsidR="004B0BFA" w:rsidRPr="004B0BFA" w:rsidRDefault="004B0BFA" w:rsidP="004D3B12">
      <w:r w:rsidRPr="004B0BFA">
        <w:t>Publications in academic journals discussing statistical issues, methodology, and results of the VR ROI model.</w:t>
      </w:r>
    </w:p>
    <w:p w14:paraId="4D50C11F" w14:textId="77777777" w:rsidR="004B0BFA" w:rsidRPr="004B0BFA" w:rsidRDefault="004B0BFA" w:rsidP="00533945">
      <w:pPr>
        <w:pStyle w:val="ListParagraph"/>
        <w:numPr>
          <w:ilvl w:val="0"/>
          <w:numId w:val="157"/>
        </w:numPr>
      </w:pPr>
      <w:r w:rsidRPr="004B0BFA">
        <w:t xml:space="preserve">Dean, D., Pepper, J., Schmidt, R., Stern, S. (2015). “The Effects of Vocational Rehabilitation for People with Cognitive Impairments.” International Economic Review, 56 (No. 2, May 2015), 399-426. </w:t>
      </w:r>
    </w:p>
    <w:p w14:paraId="2E0D9E20" w14:textId="77777777" w:rsidR="004B0BFA" w:rsidRPr="004B0BFA" w:rsidRDefault="004B0BFA" w:rsidP="00533945">
      <w:pPr>
        <w:pStyle w:val="ListParagraph"/>
        <w:numPr>
          <w:ilvl w:val="0"/>
          <w:numId w:val="157"/>
        </w:numPr>
      </w:pPr>
      <w:r w:rsidRPr="004B0BFA">
        <w:t>Dean, D., Pepper, J., Schmidt, R., Stern, S. (2017). “The Effects of Vocational Rehabilitation for People with Mental Illness.” Journal of Human Resources, 52 (No. 3, Summer 2017), 826-858.</w:t>
      </w:r>
    </w:p>
    <w:p w14:paraId="5B77FFA0" w14:textId="77777777" w:rsidR="004B0BFA" w:rsidRPr="004B0BFA" w:rsidRDefault="004B0BFA" w:rsidP="00533945">
      <w:pPr>
        <w:pStyle w:val="ListParagraph"/>
        <w:numPr>
          <w:ilvl w:val="0"/>
          <w:numId w:val="157"/>
        </w:numPr>
      </w:pPr>
      <w:r w:rsidRPr="004B0BFA">
        <w:t>Dean, D., Pepper, J., Schmidt, R., Stern, S. (2018). “The Effects of Vocational Rehabilitation for People with Physical Disabilities.” Journal of Human Capital, 12 (No. 1, Summer 2018), 1-37.</w:t>
      </w:r>
    </w:p>
    <w:sectPr w:rsidR="004B0BFA" w:rsidRPr="004B0BFA" w:rsidSect="009A7E24">
      <w:type w:val="continuous"/>
      <w:pgSz w:w="12240" w:h="15840"/>
      <w:pgMar w:top="720" w:right="1008" w:bottom="810" w:left="10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7BC3AA0"/>
    <w:lvl w:ilvl="0">
      <w:numFmt w:val="bullet"/>
      <w:lvlText w:val="*"/>
      <w:lvlJc w:val="left"/>
      <w:pPr>
        <w:ind w:left="0" w:firstLine="0"/>
      </w:pPr>
    </w:lvl>
  </w:abstractNum>
  <w:abstractNum w:abstractNumId="1" w15:restartNumberingAfterBreak="0">
    <w:nsid w:val="0021277A"/>
    <w:multiLevelType w:val="multilevel"/>
    <w:tmpl w:val="381AA080"/>
    <w:lvl w:ilvl="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078335F"/>
    <w:multiLevelType w:val="hybridMultilevel"/>
    <w:tmpl w:val="05F86554"/>
    <w:lvl w:ilvl="0" w:tplc="653C1CA2">
      <w:start w:val="1"/>
      <w:numFmt w:val="bullet"/>
      <w:lvlText w:val=""/>
      <w:lvlJc w:val="left"/>
      <w:pPr>
        <w:ind w:left="720" w:hanging="360"/>
      </w:pPr>
      <w:rPr>
        <w:rFonts w:ascii="Symbol" w:hAnsi="Symbol" w:hint="default"/>
        <w:color w:val="254264"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9351FA"/>
    <w:multiLevelType w:val="hybridMultilevel"/>
    <w:tmpl w:val="7DB64E4E"/>
    <w:lvl w:ilvl="0" w:tplc="6DF24204">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B24CB7"/>
    <w:multiLevelType w:val="hybridMultilevel"/>
    <w:tmpl w:val="51FED87A"/>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C46FCF"/>
    <w:multiLevelType w:val="hybridMultilevel"/>
    <w:tmpl w:val="69AEB864"/>
    <w:lvl w:ilvl="0" w:tplc="87C87F36">
      <w:start w:val="1"/>
      <w:numFmt w:val="bullet"/>
      <w:lvlText w:val="●"/>
      <w:lvlJc w:val="left"/>
      <w:pPr>
        <w:tabs>
          <w:tab w:val="num" w:pos="720"/>
        </w:tabs>
        <w:ind w:left="720" w:hanging="360"/>
      </w:pPr>
      <w:rPr>
        <w:rFonts w:ascii="Times New Roman" w:hAnsi="Times New Roman" w:hint="default"/>
      </w:rPr>
    </w:lvl>
    <w:lvl w:ilvl="1" w:tplc="C39CD926">
      <w:start w:val="1"/>
      <w:numFmt w:val="bullet"/>
      <w:lvlText w:val="●"/>
      <w:lvlJc w:val="left"/>
      <w:pPr>
        <w:tabs>
          <w:tab w:val="num" w:pos="1440"/>
        </w:tabs>
        <w:ind w:left="1440" w:hanging="360"/>
      </w:pPr>
      <w:rPr>
        <w:rFonts w:ascii="Times New Roman" w:hAnsi="Times New Roman" w:hint="default"/>
      </w:rPr>
    </w:lvl>
    <w:lvl w:ilvl="2" w:tplc="44143580">
      <w:numFmt w:val="bullet"/>
      <w:lvlText w:val=""/>
      <w:lvlJc w:val="left"/>
      <w:pPr>
        <w:tabs>
          <w:tab w:val="num" w:pos="2160"/>
        </w:tabs>
        <w:ind w:left="2160" w:hanging="360"/>
      </w:pPr>
      <w:rPr>
        <w:rFonts w:ascii="Wingdings" w:hAnsi="Wingdings" w:hint="default"/>
      </w:rPr>
    </w:lvl>
    <w:lvl w:ilvl="3" w:tplc="E72C1DD8">
      <w:numFmt w:val="bullet"/>
      <w:lvlText w:val=""/>
      <w:lvlJc w:val="left"/>
      <w:pPr>
        <w:tabs>
          <w:tab w:val="num" w:pos="2880"/>
        </w:tabs>
        <w:ind w:left="2880" w:hanging="360"/>
      </w:pPr>
      <w:rPr>
        <w:rFonts w:ascii="Wingdings" w:hAnsi="Wingdings" w:hint="default"/>
      </w:rPr>
    </w:lvl>
    <w:lvl w:ilvl="4" w:tplc="52B2F9F8" w:tentative="1">
      <w:start w:val="1"/>
      <w:numFmt w:val="bullet"/>
      <w:lvlText w:val="●"/>
      <w:lvlJc w:val="left"/>
      <w:pPr>
        <w:tabs>
          <w:tab w:val="num" w:pos="3600"/>
        </w:tabs>
        <w:ind w:left="3600" w:hanging="360"/>
      </w:pPr>
      <w:rPr>
        <w:rFonts w:ascii="Times New Roman" w:hAnsi="Times New Roman" w:hint="default"/>
      </w:rPr>
    </w:lvl>
    <w:lvl w:ilvl="5" w:tplc="3D5EB71E" w:tentative="1">
      <w:start w:val="1"/>
      <w:numFmt w:val="bullet"/>
      <w:lvlText w:val="●"/>
      <w:lvlJc w:val="left"/>
      <w:pPr>
        <w:tabs>
          <w:tab w:val="num" w:pos="4320"/>
        </w:tabs>
        <w:ind w:left="4320" w:hanging="360"/>
      </w:pPr>
      <w:rPr>
        <w:rFonts w:ascii="Times New Roman" w:hAnsi="Times New Roman" w:hint="default"/>
      </w:rPr>
    </w:lvl>
    <w:lvl w:ilvl="6" w:tplc="B32AEBC0" w:tentative="1">
      <w:start w:val="1"/>
      <w:numFmt w:val="bullet"/>
      <w:lvlText w:val="●"/>
      <w:lvlJc w:val="left"/>
      <w:pPr>
        <w:tabs>
          <w:tab w:val="num" w:pos="5040"/>
        </w:tabs>
        <w:ind w:left="5040" w:hanging="360"/>
      </w:pPr>
      <w:rPr>
        <w:rFonts w:ascii="Times New Roman" w:hAnsi="Times New Roman" w:hint="default"/>
      </w:rPr>
    </w:lvl>
    <w:lvl w:ilvl="7" w:tplc="E25EE8CE" w:tentative="1">
      <w:start w:val="1"/>
      <w:numFmt w:val="bullet"/>
      <w:lvlText w:val="●"/>
      <w:lvlJc w:val="left"/>
      <w:pPr>
        <w:tabs>
          <w:tab w:val="num" w:pos="5760"/>
        </w:tabs>
        <w:ind w:left="5760" w:hanging="360"/>
      </w:pPr>
      <w:rPr>
        <w:rFonts w:ascii="Times New Roman" w:hAnsi="Times New Roman" w:hint="default"/>
      </w:rPr>
    </w:lvl>
    <w:lvl w:ilvl="8" w:tplc="CB1C760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53868F3"/>
    <w:multiLevelType w:val="hybridMultilevel"/>
    <w:tmpl w:val="EACA002E"/>
    <w:lvl w:ilvl="0" w:tplc="836431D6">
      <w:start w:val="1"/>
      <w:numFmt w:val="bullet"/>
      <w:lvlText w:val=""/>
      <w:lvlJc w:val="left"/>
      <w:pPr>
        <w:ind w:left="720" w:hanging="360"/>
      </w:pPr>
      <w:rPr>
        <w:rFonts w:ascii="Symbol" w:hAnsi="Symbol" w:hint="default"/>
        <w:color w:val="254264"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4A0C8F"/>
    <w:multiLevelType w:val="hybridMultilevel"/>
    <w:tmpl w:val="F1169ED0"/>
    <w:lvl w:ilvl="0" w:tplc="1C122C00">
      <w:start w:val="1"/>
      <w:numFmt w:val="bullet"/>
      <w:lvlText w:val=""/>
      <w:lvlJc w:val="left"/>
      <w:pPr>
        <w:tabs>
          <w:tab w:val="num" w:pos="720"/>
        </w:tabs>
        <w:ind w:left="720" w:hanging="360"/>
      </w:pPr>
      <w:rPr>
        <w:rFonts w:ascii="Wingdings" w:hAnsi="Wingdings" w:hint="default"/>
      </w:rPr>
    </w:lvl>
    <w:lvl w:ilvl="1" w:tplc="79BE0F8C" w:tentative="1">
      <w:start w:val="1"/>
      <w:numFmt w:val="bullet"/>
      <w:lvlText w:val=""/>
      <w:lvlJc w:val="left"/>
      <w:pPr>
        <w:tabs>
          <w:tab w:val="num" w:pos="1440"/>
        </w:tabs>
        <w:ind w:left="1440" w:hanging="360"/>
      </w:pPr>
      <w:rPr>
        <w:rFonts w:ascii="Wingdings" w:hAnsi="Wingdings" w:hint="default"/>
      </w:rPr>
    </w:lvl>
    <w:lvl w:ilvl="2" w:tplc="A9466014" w:tentative="1">
      <w:start w:val="1"/>
      <w:numFmt w:val="bullet"/>
      <w:lvlText w:val=""/>
      <w:lvlJc w:val="left"/>
      <w:pPr>
        <w:tabs>
          <w:tab w:val="num" w:pos="2160"/>
        </w:tabs>
        <w:ind w:left="2160" w:hanging="360"/>
      </w:pPr>
      <w:rPr>
        <w:rFonts w:ascii="Wingdings" w:hAnsi="Wingdings" w:hint="default"/>
      </w:rPr>
    </w:lvl>
    <w:lvl w:ilvl="3" w:tplc="7B201332" w:tentative="1">
      <w:start w:val="1"/>
      <w:numFmt w:val="bullet"/>
      <w:lvlText w:val=""/>
      <w:lvlJc w:val="left"/>
      <w:pPr>
        <w:tabs>
          <w:tab w:val="num" w:pos="2880"/>
        </w:tabs>
        <w:ind w:left="2880" w:hanging="360"/>
      </w:pPr>
      <w:rPr>
        <w:rFonts w:ascii="Wingdings" w:hAnsi="Wingdings" w:hint="default"/>
      </w:rPr>
    </w:lvl>
    <w:lvl w:ilvl="4" w:tplc="EC7ABE0E" w:tentative="1">
      <w:start w:val="1"/>
      <w:numFmt w:val="bullet"/>
      <w:lvlText w:val=""/>
      <w:lvlJc w:val="left"/>
      <w:pPr>
        <w:tabs>
          <w:tab w:val="num" w:pos="3600"/>
        </w:tabs>
        <w:ind w:left="3600" w:hanging="360"/>
      </w:pPr>
      <w:rPr>
        <w:rFonts w:ascii="Wingdings" w:hAnsi="Wingdings" w:hint="default"/>
      </w:rPr>
    </w:lvl>
    <w:lvl w:ilvl="5" w:tplc="C2EA0BE8" w:tentative="1">
      <w:start w:val="1"/>
      <w:numFmt w:val="bullet"/>
      <w:lvlText w:val=""/>
      <w:lvlJc w:val="left"/>
      <w:pPr>
        <w:tabs>
          <w:tab w:val="num" w:pos="4320"/>
        </w:tabs>
        <w:ind w:left="4320" w:hanging="360"/>
      </w:pPr>
      <w:rPr>
        <w:rFonts w:ascii="Wingdings" w:hAnsi="Wingdings" w:hint="default"/>
      </w:rPr>
    </w:lvl>
    <w:lvl w:ilvl="6" w:tplc="126408D8" w:tentative="1">
      <w:start w:val="1"/>
      <w:numFmt w:val="bullet"/>
      <w:lvlText w:val=""/>
      <w:lvlJc w:val="left"/>
      <w:pPr>
        <w:tabs>
          <w:tab w:val="num" w:pos="5040"/>
        </w:tabs>
        <w:ind w:left="5040" w:hanging="360"/>
      </w:pPr>
      <w:rPr>
        <w:rFonts w:ascii="Wingdings" w:hAnsi="Wingdings" w:hint="default"/>
      </w:rPr>
    </w:lvl>
    <w:lvl w:ilvl="7" w:tplc="B4CA1A04" w:tentative="1">
      <w:start w:val="1"/>
      <w:numFmt w:val="bullet"/>
      <w:lvlText w:val=""/>
      <w:lvlJc w:val="left"/>
      <w:pPr>
        <w:tabs>
          <w:tab w:val="num" w:pos="5760"/>
        </w:tabs>
        <w:ind w:left="5760" w:hanging="360"/>
      </w:pPr>
      <w:rPr>
        <w:rFonts w:ascii="Wingdings" w:hAnsi="Wingdings" w:hint="default"/>
      </w:rPr>
    </w:lvl>
    <w:lvl w:ilvl="8" w:tplc="6A8265E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6E42F6"/>
    <w:multiLevelType w:val="hybridMultilevel"/>
    <w:tmpl w:val="22B03BB4"/>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6C701D"/>
    <w:multiLevelType w:val="hybridMultilevel"/>
    <w:tmpl w:val="C6D0AD7C"/>
    <w:lvl w:ilvl="0" w:tplc="836431D6">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DA65C0"/>
    <w:multiLevelType w:val="hybridMultilevel"/>
    <w:tmpl w:val="B4245DAC"/>
    <w:lvl w:ilvl="0" w:tplc="653C1CA2">
      <w:start w:val="1"/>
      <w:numFmt w:val="bullet"/>
      <w:lvlText w:val=""/>
      <w:lvlJc w:val="left"/>
      <w:pPr>
        <w:ind w:left="720" w:hanging="360"/>
      </w:pPr>
      <w:rPr>
        <w:rFonts w:ascii="Symbol" w:hAnsi="Symbol" w:hint="default"/>
        <w:color w:val="254264" w:themeColor="accent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F991F7A"/>
    <w:multiLevelType w:val="hybridMultilevel"/>
    <w:tmpl w:val="901AC10A"/>
    <w:lvl w:ilvl="0" w:tplc="836431D6">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BB78F1"/>
    <w:multiLevelType w:val="hybridMultilevel"/>
    <w:tmpl w:val="A48610F6"/>
    <w:lvl w:ilvl="0" w:tplc="836431D6">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5402AE"/>
    <w:multiLevelType w:val="hybridMultilevel"/>
    <w:tmpl w:val="604498AC"/>
    <w:lvl w:ilvl="0" w:tplc="653C1CA2">
      <w:start w:val="1"/>
      <w:numFmt w:val="bullet"/>
      <w:lvlText w:val=""/>
      <w:lvlJc w:val="left"/>
      <w:pPr>
        <w:ind w:left="720" w:hanging="360"/>
      </w:pPr>
      <w:rPr>
        <w:rFonts w:ascii="Symbol" w:hAnsi="Symbol" w:hint="default"/>
        <w:color w:val="254264"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738708B"/>
    <w:multiLevelType w:val="hybridMultilevel"/>
    <w:tmpl w:val="BD04D956"/>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E44114"/>
    <w:multiLevelType w:val="hybridMultilevel"/>
    <w:tmpl w:val="B2A02368"/>
    <w:lvl w:ilvl="0" w:tplc="836431D6">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DE304E"/>
    <w:multiLevelType w:val="hybridMultilevel"/>
    <w:tmpl w:val="AA2CD60E"/>
    <w:lvl w:ilvl="0" w:tplc="836431D6">
      <w:start w:val="1"/>
      <w:numFmt w:val="bullet"/>
      <w:lvlText w:val=""/>
      <w:lvlJc w:val="left"/>
      <w:pPr>
        <w:ind w:left="720" w:hanging="360"/>
      </w:pPr>
      <w:rPr>
        <w:rFonts w:ascii="Symbol" w:hAnsi="Symbol" w:hint="default"/>
        <w:color w:val="254264"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2C6E35"/>
    <w:multiLevelType w:val="hybridMultilevel"/>
    <w:tmpl w:val="521A3782"/>
    <w:lvl w:ilvl="0" w:tplc="836431D6">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0269C9"/>
    <w:multiLevelType w:val="hybridMultilevel"/>
    <w:tmpl w:val="0EBE022E"/>
    <w:lvl w:ilvl="0" w:tplc="836431D6">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694B03"/>
    <w:multiLevelType w:val="hybridMultilevel"/>
    <w:tmpl w:val="EDA8E0B8"/>
    <w:lvl w:ilvl="0" w:tplc="836431D6">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4D0CF1"/>
    <w:multiLevelType w:val="hybridMultilevel"/>
    <w:tmpl w:val="5DF26CCC"/>
    <w:lvl w:ilvl="0" w:tplc="836431D6">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6735CE"/>
    <w:multiLevelType w:val="hybridMultilevel"/>
    <w:tmpl w:val="A768F46E"/>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FF682C"/>
    <w:multiLevelType w:val="hybridMultilevel"/>
    <w:tmpl w:val="52B8EA06"/>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D5014E"/>
    <w:multiLevelType w:val="hybridMultilevel"/>
    <w:tmpl w:val="97AAE458"/>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DB470B"/>
    <w:multiLevelType w:val="hybridMultilevel"/>
    <w:tmpl w:val="5B1E1882"/>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C96725"/>
    <w:multiLevelType w:val="hybridMultilevel"/>
    <w:tmpl w:val="738E7F18"/>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99470C"/>
    <w:multiLevelType w:val="hybridMultilevel"/>
    <w:tmpl w:val="09647ECE"/>
    <w:lvl w:ilvl="0" w:tplc="653C1CA2">
      <w:start w:val="1"/>
      <w:numFmt w:val="bullet"/>
      <w:lvlText w:val=""/>
      <w:lvlJc w:val="left"/>
      <w:pPr>
        <w:ind w:left="720" w:hanging="360"/>
      </w:pPr>
      <w:rPr>
        <w:rFonts w:ascii="Symbol" w:hAnsi="Symbol" w:hint="default"/>
        <w:color w:val="254264"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7831DD"/>
    <w:multiLevelType w:val="hybridMultilevel"/>
    <w:tmpl w:val="54025C10"/>
    <w:lvl w:ilvl="0" w:tplc="836431D6">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146A3B"/>
    <w:multiLevelType w:val="hybridMultilevel"/>
    <w:tmpl w:val="4C84F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7D2672"/>
    <w:multiLevelType w:val="hybridMultilevel"/>
    <w:tmpl w:val="5B5C6562"/>
    <w:lvl w:ilvl="0" w:tplc="836431D6">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8309D6"/>
    <w:multiLevelType w:val="hybridMultilevel"/>
    <w:tmpl w:val="0CA8D78C"/>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1A2910"/>
    <w:multiLevelType w:val="hybridMultilevel"/>
    <w:tmpl w:val="3AC04284"/>
    <w:lvl w:ilvl="0" w:tplc="836431D6">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025AFC"/>
    <w:multiLevelType w:val="hybridMultilevel"/>
    <w:tmpl w:val="94AAC7B0"/>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2D5DB4"/>
    <w:multiLevelType w:val="hybridMultilevel"/>
    <w:tmpl w:val="267A6414"/>
    <w:lvl w:ilvl="0" w:tplc="836431D6">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E8259B"/>
    <w:multiLevelType w:val="hybridMultilevel"/>
    <w:tmpl w:val="C67AEAEA"/>
    <w:lvl w:ilvl="0" w:tplc="836431D6">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79512A"/>
    <w:multiLevelType w:val="hybridMultilevel"/>
    <w:tmpl w:val="08B431DC"/>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E546AF"/>
    <w:multiLevelType w:val="hybridMultilevel"/>
    <w:tmpl w:val="D5000A3E"/>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4711940"/>
    <w:multiLevelType w:val="hybridMultilevel"/>
    <w:tmpl w:val="AB74204E"/>
    <w:lvl w:ilvl="0" w:tplc="653C1CA2">
      <w:start w:val="1"/>
      <w:numFmt w:val="bullet"/>
      <w:lvlText w:val=""/>
      <w:lvlJc w:val="left"/>
      <w:pPr>
        <w:ind w:left="720" w:hanging="360"/>
      </w:pPr>
      <w:rPr>
        <w:rFonts w:ascii="Symbol" w:hAnsi="Symbol" w:hint="default"/>
        <w:color w:val="254264"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1A586A"/>
    <w:multiLevelType w:val="hybridMultilevel"/>
    <w:tmpl w:val="EFE006E2"/>
    <w:lvl w:ilvl="0" w:tplc="836431D6">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7121CB"/>
    <w:multiLevelType w:val="hybridMultilevel"/>
    <w:tmpl w:val="4A9CD154"/>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1E70FB8"/>
    <w:multiLevelType w:val="hybridMultilevel"/>
    <w:tmpl w:val="78A6E902"/>
    <w:lvl w:ilvl="0" w:tplc="99664380">
      <w:start w:val="1"/>
      <w:numFmt w:val="bullet"/>
      <w:lvlText w:val=""/>
      <w:lvlJc w:val="left"/>
      <w:pPr>
        <w:tabs>
          <w:tab w:val="num" w:pos="720"/>
        </w:tabs>
        <w:ind w:left="720" w:hanging="360"/>
      </w:pPr>
      <w:rPr>
        <w:rFonts w:ascii="Wingdings" w:hAnsi="Wingdings" w:hint="default"/>
      </w:rPr>
    </w:lvl>
    <w:lvl w:ilvl="1" w:tplc="EBD83FFA">
      <w:numFmt w:val="bullet"/>
      <w:lvlText w:val=""/>
      <w:lvlJc w:val="left"/>
      <w:pPr>
        <w:tabs>
          <w:tab w:val="num" w:pos="1440"/>
        </w:tabs>
        <w:ind w:left="1440" w:hanging="360"/>
      </w:pPr>
      <w:rPr>
        <w:rFonts w:ascii="Wingdings" w:hAnsi="Wingdings" w:hint="default"/>
      </w:rPr>
    </w:lvl>
    <w:lvl w:ilvl="2" w:tplc="B61E3468" w:tentative="1">
      <w:start w:val="1"/>
      <w:numFmt w:val="bullet"/>
      <w:lvlText w:val=""/>
      <w:lvlJc w:val="left"/>
      <w:pPr>
        <w:tabs>
          <w:tab w:val="num" w:pos="2160"/>
        </w:tabs>
        <w:ind w:left="2160" w:hanging="360"/>
      </w:pPr>
      <w:rPr>
        <w:rFonts w:ascii="Wingdings" w:hAnsi="Wingdings" w:hint="default"/>
      </w:rPr>
    </w:lvl>
    <w:lvl w:ilvl="3" w:tplc="C5667370" w:tentative="1">
      <w:start w:val="1"/>
      <w:numFmt w:val="bullet"/>
      <w:lvlText w:val=""/>
      <w:lvlJc w:val="left"/>
      <w:pPr>
        <w:tabs>
          <w:tab w:val="num" w:pos="2880"/>
        </w:tabs>
        <w:ind w:left="2880" w:hanging="360"/>
      </w:pPr>
      <w:rPr>
        <w:rFonts w:ascii="Wingdings" w:hAnsi="Wingdings" w:hint="default"/>
      </w:rPr>
    </w:lvl>
    <w:lvl w:ilvl="4" w:tplc="119CF08C" w:tentative="1">
      <w:start w:val="1"/>
      <w:numFmt w:val="bullet"/>
      <w:lvlText w:val=""/>
      <w:lvlJc w:val="left"/>
      <w:pPr>
        <w:tabs>
          <w:tab w:val="num" w:pos="3600"/>
        </w:tabs>
        <w:ind w:left="3600" w:hanging="360"/>
      </w:pPr>
      <w:rPr>
        <w:rFonts w:ascii="Wingdings" w:hAnsi="Wingdings" w:hint="default"/>
      </w:rPr>
    </w:lvl>
    <w:lvl w:ilvl="5" w:tplc="D97ACDFA" w:tentative="1">
      <w:start w:val="1"/>
      <w:numFmt w:val="bullet"/>
      <w:lvlText w:val=""/>
      <w:lvlJc w:val="left"/>
      <w:pPr>
        <w:tabs>
          <w:tab w:val="num" w:pos="4320"/>
        </w:tabs>
        <w:ind w:left="4320" w:hanging="360"/>
      </w:pPr>
      <w:rPr>
        <w:rFonts w:ascii="Wingdings" w:hAnsi="Wingdings" w:hint="default"/>
      </w:rPr>
    </w:lvl>
    <w:lvl w:ilvl="6" w:tplc="7E54DA68" w:tentative="1">
      <w:start w:val="1"/>
      <w:numFmt w:val="bullet"/>
      <w:lvlText w:val=""/>
      <w:lvlJc w:val="left"/>
      <w:pPr>
        <w:tabs>
          <w:tab w:val="num" w:pos="5040"/>
        </w:tabs>
        <w:ind w:left="5040" w:hanging="360"/>
      </w:pPr>
      <w:rPr>
        <w:rFonts w:ascii="Wingdings" w:hAnsi="Wingdings" w:hint="default"/>
      </w:rPr>
    </w:lvl>
    <w:lvl w:ilvl="7" w:tplc="54F22CB0" w:tentative="1">
      <w:start w:val="1"/>
      <w:numFmt w:val="bullet"/>
      <w:lvlText w:val=""/>
      <w:lvlJc w:val="left"/>
      <w:pPr>
        <w:tabs>
          <w:tab w:val="num" w:pos="5760"/>
        </w:tabs>
        <w:ind w:left="5760" w:hanging="360"/>
      </w:pPr>
      <w:rPr>
        <w:rFonts w:ascii="Wingdings" w:hAnsi="Wingdings" w:hint="default"/>
      </w:rPr>
    </w:lvl>
    <w:lvl w:ilvl="8" w:tplc="AAB2DB6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1F508F8"/>
    <w:multiLevelType w:val="hybridMultilevel"/>
    <w:tmpl w:val="761A61D2"/>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711AB8"/>
    <w:multiLevelType w:val="hybridMultilevel"/>
    <w:tmpl w:val="97309CC0"/>
    <w:lvl w:ilvl="0" w:tplc="F726FA0E">
      <w:start w:val="2"/>
      <w:numFmt w:val="decimal"/>
      <w:pStyle w:val="Heading2"/>
      <w:lvlText w:val="Slide %1."/>
      <w:lvlJc w:val="left"/>
      <w:pPr>
        <w:ind w:left="4140" w:hanging="360"/>
      </w:pPr>
      <w:rPr>
        <w:rFonts w:ascii="Calibri" w:hAnsi="Calibri" w:hint="default"/>
        <w:b/>
        <w:i w:val="0"/>
        <w:color w:val="36614D" w:themeColor="accent3" w:themeShade="BF"/>
        <w:sz w:val="36"/>
        <w:u w:color="C0AF8C" w:themeColor="text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2DD57F3"/>
    <w:multiLevelType w:val="hybridMultilevel"/>
    <w:tmpl w:val="C0147170"/>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EE0919"/>
    <w:multiLevelType w:val="hybridMultilevel"/>
    <w:tmpl w:val="56D492F0"/>
    <w:lvl w:ilvl="0" w:tplc="653C1CA2">
      <w:start w:val="1"/>
      <w:numFmt w:val="bullet"/>
      <w:lvlText w:val=""/>
      <w:lvlJc w:val="left"/>
      <w:pPr>
        <w:ind w:left="720" w:hanging="360"/>
      </w:pPr>
      <w:rPr>
        <w:rFonts w:ascii="Symbol" w:hAnsi="Symbol" w:hint="default"/>
        <w:color w:val="254264"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1145F4"/>
    <w:multiLevelType w:val="hybridMultilevel"/>
    <w:tmpl w:val="C47AF370"/>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84C55D2"/>
    <w:multiLevelType w:val="hybridMultilevel"/>
    <w:tmpl w:val="1D884F1C"/>
    <w:lvl w:ilvl="0" w:tplc="836431D6">
      <w:start w:val="1"/>
      <w:numFmt w:val="bullet"/>
      <w:lvlText w:val=""/>
      <w:lvlJc w:val="left"/>
      <w:pPr>
        <w:ind w:left="720" w:hanging="360"/>
      </w:pPr>
      <w:rPr>
        <w:rFonts w:ascii="Symbol" w:hAnsi="Symbol" w:hint="default"/>
        <w:color w:val="254264"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B250008"/>
    <w:multiLevelType w:val="hybridMultilevel"/>
    <w:tmpl w:val="C584E67C"/>
    <w:lvl w:ilvl="0" w:tplc="DD2A4D5E">
      <w:start w:val="1"/>
      <w:numFmt w:val="bullet"/>
      <w:lvlText w:val="•"/>
      <w:lvlJc w:val="left"/>
      <w:pPr>
        <w:tabs>
          <w:tab w:val="num" w:pos="720"/>
        </w:tabs>
        <w:ind w:left="720" w:hanging="360"/>
      </w:pPr>
      <w:rPr>
        <w:rFonts w:ascii="Arial" w:hAnsi="Arial" w:hint="default"/>
      </w:rPr>
    </w:lvl>
    <w:lvl w:ilvl="1" w:tplc="82682DEC">
      <w:numFmt w:val="bullet"/>
      <w:lvlText w:val=""/>
      <w:lvlJc w:val="left"/>
      <w:pPr>
        <w:tabs>
          <w:tab w:val="num" w:pos="1440"/>
        </w:tabs>
        <w:ind w:left="1440" w:hanging="360"/>
      </w:pPr>
      <w:rPr>
        <w:rFonts w:ascii="Wingdings" w:hAnsi="Wingdings" w:hint="default"/>
      </w:rPr>
    </w:lvl>
    <w:lvl w:ilvl="2" w:tplc="1C7632C2" w:tentative="1">
      <w:start w:val="1"/>
      <w:numFmt w:val="bullet"/>
      <w:lvlText w:val="•"/>
      <w:lvlJc w:val="left"/>
      <w:pPr>
        <w:tabs>
          <w:tab w:val="num" w:pos="2160"/>
        </w:tabs>
        <w:ind w:left="2160" w:hanging="360"/>
      </w:pPr>
      <w:rPr>
        <w:rFonts w:ascii="Arial" w:hAnsi="Arial" w:hint="default"/>
      </w:rPr>
    </w:lvl>
    <w:lvl w:ilvl="3" w:tplc="BA5280AE" w:tentative="1">
      <w:start w:val="1"/>
      <w:numFmt w:val="bullet"/>
      <w:lvlText w:val="•"/>
      <w:lvlJc w:val="left"/>
      <w:pPr>
        <w:tabs>
          <w:tab w:val="num" w:pos="2880"/>
        </w:tabs>
        <w:ind w:left="2880" w:hanging="360"/>
      </w:pPr>
      <w:rPr>
        <w:rFonts w:ascii="Arial" w:hAnsi="Arial" w:hint="default"/>
      </w:rPr>
    </w:lvl>
    <w:lvl w:ilvl="4" w:tplc="071C409C" w:tentative="1">
      <w:start w:val="1"/>
      <w:numFmt w:val="bullet"/>
      <w:lvlText w:val="•"/>
      <w:lvlJc w:val="left"/>
      <w:pPr>
        <w:tabs>
          <w:tab w:val="num" w:pos="3600"/>
        </w:tabs>
        <w:ind w:left="3600" w:hanging="360"/>
      </w:pPr>
      <w:rPr>
        <w:rFonts w:ascii="Arial" w:hAnsi="Arial" w:hint="default"/>
      </w:rPr>
    </w:lvl>
    <w:lvl w:ilvl="5" w:tplc="FD24D0AA" w:tentative="1">
      <w:start w:val="1"/>
      <w:numFmt w:val="bullet"/>
      <w:lvlText w:val="•"/>
      <w:lvlJc w:val="left"/>
      <w:pPr>
        <w:tabs>
          <w:tab w:val="num" w:pos="4320"/>
        </w:tabs>
        <w:ind w:left="4320" w:hanging="360"/>
      </w:pPr>
      <w:rPr>
        <w:rFonts w:ascii="Arial" w:hAnsi="Arial" w:hint="default"/>
      </w:rPr>
    </w:lvl>
    <w:lvl w:ilvl="6" w:tplc="B52CE3DE" w:tentative="1">
      <w:start w:val="1"/>
      <w:numFmt w:val="bullet"/>
      <w:lvlText w:val="•"/>
      <w:lvlJc w:val="left"/>
      <w:pPr>
        <w:tabs>
          <w:tab w:val="num" w:pos="5040"/>
        </w:tabs>
        <w:ind w:left="5040" w:hanging="360"/>
      </w:pPr>
      <w:rPr>
        <w:rFonts w:ascii="Arial" w:hAnsi="Arial" w:hint="default"/>
      </w:rPr>
    </w:lvl>
    <w:lvl w:ilvl="7" w:tplc="7116F85A" w:tentative="1">
      <w:start w:val="1"/>
      <w:numFmt w:val="bullet"/>
      <w:lvlText w:val="•"/>
      <w:lvlJc w:val="left"/>
      <w:pPr>
        <w:tabs>
          <w:tab w:val="num" w:pos="5760"/>
        </w:tabs>
        <w:ind w:left="5760" w:hanging="360"/>
      </w:pPr>
      <w:rPr>
        <w:rFonts w:ascii="Arial" w:hAnsi="Arial" w:hint="default"/>
      </w:rPr>
    </w:lvl>
    <w:lvl w:ilvl="8" w:tplc="3DB0E10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4DA56D41"/>
    <w:multiLevelType w:val="hybridMultilevel"/>
    <w:tmpl w:val="55842DF6"/>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DC24528"/>
    <w:multiLevelType w:val="hybridMultilevel"/>
    <w:tmpl w:val="A874103E"/>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2356C8"/>
    <w:multiLevelType w:val="hybridMultilevel"/>
    <w:tmpl w:val="E2440D66"/>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174399"/>
    <w:multiLevelType w:val="hybridMultilevel"/>
    <w:tmpl w:val="545A7EE4"/>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2387800"/>
    <w:multiLevelType w:val="hybridMultilevel"/>
    <w:tmpl w:val="D4D0DF3E"/>
    <w:lvl w:ilvl="0" w:tplc="653C1CA2">
      <w:start w:val="1"/>
      <w:numFmt w:val="bullet"/>
      <w:lvlText w:val=""/>
      <w:lvlJc w:val="left"/>
      <w:pPr>
        <w:ind w:left="720" w:hanging="360"/>
      </w:pPr>
      <w:rPr>
        <w:rFonts w:ascii="Symbol" w:hAnsi="Symbol" w:hint="default"/>
        <w:color w:val="254264"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1A4F59"/>
    <w:multiLevelType w:val="hybridMultilevel"/>
    <w:tmpl w:val="9A9CE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E54CB3"/>
    <w:multiLevelType w:val="hybridMultilevel"/>
    <w:tmpl w:val="6A0CEF22"/>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D10B7C"/>
    <w:multiLevelType w:val="hybridMultilevel"/>
    <w:tmpl w:val="720EF42A"/>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8D7472"/>
    <w:multiLevelType w:val="hybridMultilevel"/>
    <w:tmpl w:val="4DAC14E8"/>
    <w:lvl w:ilvl="0" w:tplc="653C1CA2">
      <w:start w:val="1"/>
      <w:numFmt w:val="bullet"/>
      <w:lvlText w:val=""/>
      <w:lvlJc w:val="left"/>
      <w:pPr>
        <w:ind w:left="720" w:hanging="360"/>
      </w:pPr>
      <w:rPr>
        <w:rFonts w:ascii="Symbol" w:hAnsi="Symbol" w:hint="default"/>
        <w:color w:val="254264"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A4B420D"/>
    <w:multiLevelType w:val="hybridMultilevel"/>
    <w:tmpl w:val="456A5B14"/>
    <w:lvl w:ilvl="0" w:tplc="653C1CA2">
      <w:start w:val="1"/>
      <w:numFmt w:val="bullet"/>
      <w:lvlText w:val=""/>
      <w:lvlJc w:val="left"/>
      <w:pPr>
        <w:ind w:left="720" w:hanging="360"/>
      </w:pPr>
      <w:rPr>
        <w:rFonts w:ascii="Symbol" w:hAnsi="Symbol" w:hint="default"/>
        <w:color w:val="254264"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3401D9"/>
    <w:multiLevelType w:val="hybridMultilevel"/>
    <w:tmpl w:val="28406582"/>
    <w:lvl w:ilvl="0" w:tplc="836431D6">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0E6368"/>
    <w:multiLevelType w:val="hybridMultilevel"/>
    <w:tmpl w:val="F6409EE4"/>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4B6110"/>
    <w:multiLevelType w:val="hybridMultilevel"/>
    <w:tmpl w:val="53100526"/>
    <w:lvl w:ilvl="0" w:tplc="836431D6">
      <w:start w:val="1"/>
      <w:numFmt w:val="bullet"/>
      <w:lvlText w:val=""/>
      <w:lvlJc w:val="left"/>
      <w:pPr>
        <w:ind w:left="720" w:hanging="360"/>
      </w:pPr>
      <w:rPr>
        <w:rFonts w:ascii="Symbol" w:hAnsi="Symbol" w:hint="default"/>
        <w:color w:val="254264"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A2783B"/>
    <w:multiLevelType w:val="hybridMultilevel"/>
    <w:tmpl w:val="5F689F14"/>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D1057A"/>
    <w:multiLevelType w:val="hybridMultilevel"/>
    <w:tmpl w:val="DB3C1AF8"/>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8F6EFA"/>
    <w:multiLevelType w:val="hybridMultilevel"/>
    <w:tmpl w:val="55A87A84"/>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A2D7EE4"/>
    <w:multiLevelType w:val="hybridMultilevel"/>
    <w:tmpl w:val="BAE46FEA"/>
    <w:lvl w:ilvl="0" w:tplc="836431D6">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C472D45"/>
    <w:multiLevelType w:val="hybridMultilevel"/>
    <w:tmpl w:val="BA3E638C"/>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0BA6C90"/>
    <w:multiLevelType w:val="multilevel"/>
    <w:tmpl w:val="38DCDC9A"/>
    <w:lvl w:ilvl="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74C32F1C"/>
    <w:multiLevelType w:val="hybridMultilevel"/>
    <w:tmpl w:val="EBF0F30E"/>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5F79F3"/>
    <w:multiLevelType w:val="hybridMultilevel"/>
    <w:tmpl w:val="99CA416C"/>
    <w:lvl w:ilvl="0" w:tplc="653C1CA2">
      <w:start w:val="1"/>
      <w:numFmt w:val="bullet"/>
      <w:lvlText w:val=""/>
      <w:lvlJc w:val="left"/>
      <w:pPr>
        <w:ind w:left="720" w:hanging="360"/>
      </w:pPr>
      <w:rPr>
        <w:rFonts w:ascii="Symbol" w:hAnsi="Symbol" w:hint="default"/>
        <w:color w:val="254264"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96E4ED7"/>
    <w:multiLevelType w:val="hybridMultilevel"/>
    <w:tmpl w:val="91285476"/>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D35B70"/>
    <w:multiLevelType w:val="hybridMultilevel"/>
    <w:tmpl w:val="48B2506E"/>
    <w:lvl w:ilvl="0" w:tplc="E124BEDA">
      <w:start w:val="1"/>
      <w:numFmt w:val="bullet"/>
      <w:lvlText w:val=""/>
      <w:lvlJc w:val="left"/>
      <w:pPr>
        <w:tabs>
          <w:tab w:val="num" w:pos="720"/>
        </w:tabs>
        <w:ind w:left="720" w:hanging="360"/>
      </w:pPr>
      <w:rPr>
        <w:rFonts w:ascii="Wingdings" w:hAnsi="Wingdings" w:hint="default"/>
      </w:rPr>
    </w:lvl>
    <w:lvl w:ilvl="1" w:tplc="5DBA1B86">
      <w:numFmt w:val="bullet"/>
      <w:lvlText w:val=""/>
      <w:lvlJc w:val="left"/>
      <w:pPr>
        <w:tabs>
          <w:tab w:val="num" w:pos="1440"/>
        </w:tabs>
        <w:ind w:left="1440" w:hanging="360"/>
      </w:pPr>
      <w:rPr>
        <w:rFonts w:ascii="Wingdings" w:hAnsi="Wingdings" w:hint="default"/>
      </w:rPr>
    </w:lvl>
    <w:lvl w:ilvl="2" w:tplc="5D5C10A4" w:tentative="1">
      <w:start w:val="1"/>
      <w:numFmt w:val="bullet"/>
      <w:lvlText w:val=""/>
      <w:lvlJc w:val="left"/>
      <w:pPr>
        <w:tabs>
          <w:tab w:val="num" w:pos="2160"/>
        </w:tabs>
        <w:ind w:left="2160" w:hanging="360"/>
      </w:pPr>
      <w:rPr>
        <w:rFonts w:ascii="Wingdings" w:hAnsi="Wingdings" w:hint="default"/>
      </w:rPr>
    </w:lvl>
    <w:lvl w:ilvl="3" w:tplc="DD42ED88" w:tentative="1">
      <w:start w:val="1"/>
      <w:numFmt w:val="bullet"/>
      <w:lvlText w:val=""/>
      <w:lvlJc w:val="left"/>
      <w:pPr>
        <w:tabs>
          <w:tab w:val="num" w:pos="2880"/>
        </w:tabs>
        <w:ind w:left="2880" w:hanging="360"/>
      </w:pPr>
      <w:rPr>
        <w:rFonts w:ascii="Wingdings" w:hAnsi="Wingdings" w:hint="default"/>
      </w:rPr>
    </w:lvl>
    <w:lvl w:ilvl="4" w:tplc="07DE3A3E" w:tentative="1">
      <w:start w:val="1"/>
      <w:numFmt w:val="bullet"/>
      <w:lvlText w:val=""/>
      <w:lvlJc w:val="left"/>
      <w:pPr>
        <w:tabs>
          <w:tab w:val="num" w:pos="3600"/>
        </w:tabs>
        <w:ind w:left="3600" w:hanging="360"/>
      </w:pPr>
      <w:rPr>
        <w:rFonts w:ascii="Wingdings" w:hAnsi="Wingdings" w:hint="default"/>
      </w:rPr>
    </w:lvl>
    <w:lvl w:ilvl="5" w:tplc="ADAC4BDE" w:tentative="1">
      <w:start w:val="1"/>
      <w:numFmt w:val="bullet"/>
      <w:lvlText w:val=""/>
      <w:lvlJc w:val="left"/>
      <w:pPr>
        <w:tabs>
          <w:tab w:val="num" w:pos="4320"/>
        </w:tabs>
        <w:ind w:left="4320" w:hanging="360"/>
      </w:pPr>
      <w:rPr>
        <w:rFonts w:ascii="Wingdings" w:hAnsi="Wingdings" w:hint="default"/>
      </w:rPr>
    </w:lvl>
    <w:lvl w:ilvl="6" w:tplc="EE024E9C" w:tentative="1">
      <w:start w:val="1"/>
      <w:numFmt w:val="bullet"/>
      <w:lvlText w:val=""/>
      <w:lvlJc w:val="left"/>
      <w:pPr>
        <w:tabs>
          <w:tab w:val="num" w:pos="5040"/>
        </w:tabs>
        <w:ind w:left="5040" w:hanging="360"/>
      </w:pPr>
      <w:rPr>
        <w:rFonts w:ascii="Wingdings" w:hAnsi="Wingdings" w:hint="default"/>
      </w:rPr>
    </w:lvl>
    <w:lvl w:ilvl="7" w:tplc="0994D206" w:tentative="1">
      <w:start w:val="1"/>
      <w:numFmt w:val="bullet"/>
      <w:lvlText w:val=""/>
      <w:lvlJc w:val="left"/>
      <w:pPr>
        <w:tabs>
          <w:tab w:val="num" w:pos="5760"/>
        </w:tabs>
        <w:ind w:left="5760" w:hanging="360"/>
      </w:pPr>
      <w:rPr>
        <w:rFonts w:ascii="Wingdings" w:hAnsi="Wingdings" w:hint="default"/>
      </w:rPr>
    </w:lvl>
    <w:lvl w:ilvl="8" w:tplc="D4EACDF6"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9FA3BBC"/>
    <w:multiLevelType w:val="hybridMultilevel"/>
    <w:tmpl w:val="DBE0AA42"/>
    <w:lvl w:ilvl="0" w:tplc="836431D6">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A3C1F00"/>
    <w:multiLevelType w:val="hybridMultilevel"/>
    <w:tmpl w:val="FF284822"/>
    <w:lvl w:ilvl="0" w:tplc="836431D6">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C3254B0"/>
    <w:multiLevelType w:val="hybridMultilevel"/>
    <w:tmpl w:val="5358CA34"/>
    <w:lvl w:ilvl="0" w:tplc="653C1CA2">
      <w:start w:val="1"/>
      <w:numFmt w:val="bullet"/>
      <w:lvlText w:val=""/>
      <w:lvlJc w:val="left"/>
      <w:pPr>
        <w:ind w:left="720" w:hanging="360"/>
      </w:pPr>
      <w:rPr>
        <w:rFonts w:ascii="Symbol" w:hAnsi="Symbol" w:hint="default"/>
        <w:color w:val="254264"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9579293">
    <w:abstractNumId w:val="3"/>
  </w:num>
  <w:num w:numId="2" w16cid:durableId="1135954680">
    <w:abstractNumId w:val="42"/>
  </w:num>
  <w:num w:numId="3" w16cid:durableId="1581256462">
    <w:abstractNumId w:val="38"/>
  </w:num>
  <w:num w:numId="4" w16cid:durableId="1704405346">
    <w:abstractNumId w:val="58"/>
  </w:num>
  <w:num w:numId="5" w16cid:durableId="1503472226">
    <w:abstractNumId w:val="33"/>
  </w:num>
  <w:num w:numId="6" w16cid:durableId="1362314975">
    <w:abstractNumId w:val="9"/>
  </w:num>
  <w:num w:numId="7" w16cid:durableId="233663769">
    <w:abstractNumId w:val="31"/>
  </w:num>
  <w:num w:numId="8" w16cid:durableId="1820346009">
    <w:abstractNumId w:val="12"/>
  </w:num>
  <w:num w:numId="9" w16cid:durableId="1116756563">
    <w:abstractNumId w:val="71"/>
  </w:num>
  <w:num w:numId="10" w16cid:durableId="196359718">
    <w:abstractNumId w:val="19"/>
  </w:num>
  <w:num w:numId="11" w16cid:durableId="1498809722">
    <w:abstractNumId w:val="46"/>
  </w:num>
  <w:num w:numId="12" w16cid:durableId="828129981">
    <w:abstractNumId w:val="20"/>
  </w:num>
  <w:num w:numId="13" w16cid:durableId="783498914">
    <w:abstractNumId w:val="18"/>
  </w:num>
  <w:num w:numId="14" w16cid:durableId="2097166668">
    <w:abstractNumId w:val="60"/>
  </w:num>
  <w:num w:numId="15" w16cid:durableId="1607888910">
    <w:abstractNumId w:val="16"/>
  </w:num>
  <w:num w:numId="16" w16cid:durableId="1933123842">
    <w:abstractNumId w:val="72"/>
  </w:num>
  <w:num w:numId="17" w16cid:durableId="1072922519">
    <w:abstractNumId w:val="27"/>
  </w:num>
  <w:num w:numId="18" w16cid:durableId="256255983">
    <w:abstractNumId w:val="34"/>
  </w:num>
  <w:num w:numId="19" w16cid:durableId="827134380">
    <w:abstractNumId w:val="17"/>
  </w:num>
  <w:num w:numId="20" w16cid:durableId="1660113088">
    <w:abstractNumId w:val="11"/>
  </w:num>
  <w:num w:numId="21" w16cid:durableId="1853300538">
    <w:abstractNumId w:val="29"/>
  </w:num>
  <w:num w:numId="22" w16cid:durableId="130365723">
    <w:abstractNumId w:val="6"/>
  </w:num>
  <w:num w:numId="23" w16cid:durableId="1666781063">
    <w:abstractNumId w:val="64"/>
  </w:num>
  <w:num w:numId="24" w16cid:durableId="433330404">
    <w:abstractNumId w:val="15"/>
  </w:num>
  <w:num w:numId="25" w16cid:durableId="56822288">
    <w:abstractNumId w:val="0"/>
    <w:lvlOverride w:ilvl="0">
      <w:lvl w:ilvl="0">
        <w:numFmt w:val="decimal"/>
        <w:lvlText w:val=""/>
        <w:legacy w:legacy="1" w:legacySpace="0" w:legacyIndent="0"/>
        <w:lvlJc w:val="left"/>
        <w:pPr>
          <w:ind w:left="0" w:firstLine="0"/>
        </w:pPr>
        <w:rPr>
          <w:rFonts w:ascii="Wingdings" w:hAnsi="Wingdings" w:hint="default"/>
          <w:sz w:val="72"/>
        </w:rPr>
      </w:lvl>
    </w:lvlOverride>
  </w:num>
  <w:num w:numId="26" w16cid:durableId="1260793232">
    <w:abstractNumId w:val="0"/>
    <w:lvlOverride w:ilvl="0">
      <w:lvl w:ilvl="0">
        <w:numFmt w:val="decimal"/>
        <w:lvlText w:val=""/>
        <w:legacy w:legacy="1" w:legacySpace="0" w:legacyIndent="0"/>
        <w:lvlJc w:val="left"/>
        <w:pPr>
          <w:ind w:left="0" w:firstLine="0"/>
        </w:pPr>
        <w:rPr>
          <w:rFonts w:ascii="Wingdings" w:hAnsi="Wingdings" w:hint="default"/>
          <w:sz w:val="43"/>
        </w:rPr>
      </w:lvl>
    </w:lvlOverride>
  </w:num>
  <w:num w:numId="27" w16cid:durableId="804196573">
    <w:abstractNumId w:val="0"/>
    <w:lvlOverride w:ilvl="0">
      <w:lvl w:ilvl="0">
        <w:numFmt w:val="decimal"/>
        <w:lvlText w:val=""/>
        <w:legacy w:legacy="1" w:legacySpace="0" w:legacyIndent="0"/>
        <w:lvlJc w:val="left"/>
        <w:pPr>
          <w:ind w:left="0" w:firstLine="0"/>
        </w:pPr>
        <w:rPr>
          <w:rFonts w:ascii="Wingdings" w:hAnsi="Wingdings" w:hint="default"/>
          <w:sz w:val="32"/>
        </w:rPr>
      </w:lvl>
    </w:lvlOverride>
  </w:num>
  <w:num w:numId="28" w16cid:durableId="379286099">
    <w:abstractNumId w:val="0"/>
    <w:lvlOverride w:ilvl="0">
      <w:lvl w:ilvl="0">
        <w:numFmt w:val="decimal"/>
        <w:lvlText w:val=""/>
        <w:legacy w:legacy="1" w:legacySpace="0" w:legacyIndent="0"/>
        <w:lvlJc w:val="left"/>
        <w:pPr>
          <w:ind w:left="0" w:firstLine="0"/>
        </w:pPr>
        <w:rPr>
          <w:rFonts w:ascii="Wingdings" w:hAnsi="Wingdings" w:hint="default"/>
          <w:sz w:val="32"/>
        </w:rPr>
      </w:lvl>
    </w:lvlOverride>
  </w:num>
  <w:num w:numId="29" w16cid:durableId="873344514">
    <w:abstractNumId w:val="0"/>
    <w:lvlOverride w:ilvl="0">
      <w:lvl w:ilvl="0">
        <w:numFmt w:val="decimal"/>
        <w:lvlText w:val=""/>
        <w:legacy w:legacy="1" w:legacySpace="0" w:legacyIndent="0"/>
        <w:lvlJc w:val="left"/>
        <w:pPr>
          <w:ind w:left="0" w:firstLine="0"/>
        </w:pPr>
        <w:rPr>
          <w:rFonts w:ascii="Wingdings" w:hAnsi="Wingdings" w:hint="default"/>
          <w:sz w:val="65"/>
        </w:rPr>
      </w:lvl>
    </w:lvlOverride>
  </w:num>
  <w:num w:numId="30" w16cid:durableId="975258878">
    <w:abstractNumId w:val="0"/>
    <w:lvlOverride w:ilvl="0">
      <w:lvl w:ilvl="0">
        <w:numFmt w:val="decimal"/>
        <w:lvlText w:val="●"/>
        <w:legacy w:legacy="1" w:legacySpace="0" w:legacyIndent="0"/>
        <w:lvlJc w:val="left"/>
        <w:pPr>
          <w:ind w:left="0" w:firstLine="0"/>
        </w:pPr>
        <w:rPr>
          <w:rFonts w:ascii="Times New Roman" w:hAnsi="Times New Roman" w:cs="Times New Roman" w:hint="default"/>
          <w:sz w:val="36"/>
        </w:rPr>
      </w:lvl>
    </w:lvlOverride>
  </w:num>
  <w:num w:numId="31" w16cid:durableId="2085880352">
    <w:abstractNumId w:val="0"/>
    <w:lvlOverride w:ilvl="0">
      <w:lvl w:ilvl="0">
        <w:numFmt w:val="decimal"/>
        <w:lvlText w:val="●"/>
        <w:legacy w:legacy="1" w:legacySpace="0" w:legacyIndent="0"/>
        <w:lvlJc w:val="left"/>
        <w:pPr>
          <w:ind w:left="0" w:firstLine="0"/>
        </w:pPr>
        <w:rPr>
          <w:rFonts w:ascii="Times New Roman" w:hAnsi="Times New Roman" w:cs="Times New Roman" w:hint="default"/>
          <w:sz w:val="34"/>
        </w:rPr>
      </w:lvl>
    </w:lvlOverride>
  </w:num>
  <w:num w:numId="32" w16cid:durableId="1119687505">
    <w:abstractNumId w:val="0"/>
    <w:lvlOverride w:ilvl="0">
      <w:lvl w:ilvl="0">
        <w:numFmt w:val="decimal"/>
        <w:lvlText w:val=""/>
        <w:legacy w:legacy="1" w:legacySpace="0" w:legacyIndent="0"/>
        <w:lvlJc w:val="left"/>
        <w:pPr>
          <w:ind w:left="0" w:firstLine="0"/>
        </w:pPr>
        <w:rPr>
          <w:rFonts w:ascii="Wingdings" w:hAnsi="Wingdings" w:hint="default"/>
          <w:sz w:val="40"/>
        </w:rPr>
      </w:lvl>
    </w:lvlOverride>
  </w:num>
  <w:num w:numId="33" w16cid:durableId="932395358">
    <w:abstractNumId w:val="0"/>
    <w:lvlOverride w:ilvl="0">
      <w:lvl w:ilvl="0">
        <w:numFmt w:val="decimal"/>
        <w:lvlText w:val=""/>
        <w:legacy w:legacy="1" w:legacySpace="0" w:legacyIndent="0"/>
        <w:lvlJc w:val="left"/>
        <w:pPr>
          <w:ind w:left="0" w:firstLine="0"/>
        </w:pPr>
        <w:rPr>
          <w:rFonts w:ascii="Wingdings" w:hAnsi="Wingdings" w:hint="default"/>
          <w:sz w:val="50"/>
        </w:rPr>
      </w:lvl>
    </w:lvlOverride>
  </w:num>
  <w:num w:numId="34" w16cid:durableId="14813800">
    <w:abstractNumId w:val="0"/>
    <w:lvlOverride w:ilvl="0">
      <w:lvl w:ilvl="0">
        <w:numFmt w:val="decimal"/>
        <w:lvlText w:val=""/>
        <w:legacy w:legacy="1" w:legacySpace="0" w:legacyIndent="0"/>
        <w:lvlJc w:val="left"/>
        <w:pPr>
          <w:ind w:left="0" w:firstLine="0"/>
        </w:pPr>
        <w:rPr>
          <w:rFonts w:ascii="Wingdings" w:hAnsi="Wingdings" w:hint="default"/>
          <w:sz w:val="54"/>
        </w:rPr>
      </w:lvl>
    </w:lvlOverride>
  </w:num>
  <w:num w:numId="35" w16cid:durableId="1510368712">
    <w:abstractNumId w:val="0"/>
    <w:lvlOverride w:ilvl="0">
      <w:lvl w:ilvl="0">
        <w:numFmt w:val="decimal"/>
        <w:lvlText w:val=""/>
        <w:legacy w:legacy="1" w:legacySpace="0" w:legacyIndent="0"/>
        <w:lvlJc w:val="left"/>
        <w:pPr>
          <w:ind w:left="0" w:firstLine="0"/>
        </w:pPr>
        <w:rPr>
          <w:rFonts w:ascii="Wingdings" w:hAnsi="Wingdings" w:hint="default"/>
          <w:sz w:val="29"/>
        </w:rPr>
      </w:lvl>
    </w:lvlOverride>
  </w:num>
  <w:num w:numId="36" w16cid:durableId="1925603540">
    <w:abstractNumId w:val="0"/>
    <w:lvlOverride w:ilvl="0">
      <w:lvl w:ilvl="0">
        <w:numFmt w:val="decimal"/>
        <w:lvlText w:val=""/>
        <w:legacy w:legacy="1" w:legacySpace="0" w:legacyIndent="0"/>
        <w:lvlJc w:val="left"/>
        <w:pPr>
          <w:ind w:left="0" w:firstLine="0"/>
        </w:pPr>
        <w:rPr>
          <w:rFonts w:ascii="Wingdings" w:hAnsi="Wingdings" w:hint="default"/>
          <w:sz w:val="29"/>
        </w:rPr>
      </w:lvl>
    </w:lvlOverride>
  </w:num>
  <w:num w:numId="37" w16cid:durableId="1990163080">
    <w:abstractNumId w:val="0"/>
    <w:lvlOverride w:ilvl="0">
      <w:lvl w:ilvl="0">
        <w:numFmt w:val="decimal"/>
        <w:lvlText w:val=""/>
        <w:legacy w:legacy="1" w:legacySpace="0" w:legacyIndent="0"/>
        <w:lvlJc w:val="left"/>
        <w:pPr>
          <w:ind w:left="0" w:firstLine="0"/>
        </w:pPr>
        <w:rPr>
          <w:rFonts w:ascii="Wingdings" w:hAnsi="Wingdings" w:hint="default"/>
          <w:sz w:val="29"/>
        </w:rPr>
      </w:lvl>
    </w:lvlOverride>
  </w:num>
  <w:num w:numId="38" w16cid:durableId="169685640">
    <w:abstractNumId w:val="0"/>
    <w:lvlOverride w:ilvl="0">
      <w:lvl w:ilvl="0">
        <w:numFmt w:val="decimal"/>
        <w:lvlText w:val=""/>
        <w:legacy w:legacy="1" w:legacySpace="0" w:legacyIndent="0"/>
        <w:lvlJc w:val="left"/>
        <w:pPr>
          <w:ind w:left="0" w:firstLine="0"/>
        </w:pPr>
        <w:rPr>
          <w:rFonts w:ascii="Wingdings" w:hAnsi="Wingdings" w:hint="default"/>
          <w:sz w:val="32"/>
        </w:rPr>
      </w:lvl>
    </w:lvlOverride>
  </w:num>
  <w:num w:numId="39" w16cid:durableId="1231037973">
    <w:abstractNumId w:val="0"/>
    <w:lvlOverride w:ilvl="0">
      <w:lvl w:ilvl="0">
        <w:numFmt w:val="decimal"/>
        <w:lvlText w:val=""/>
        <w:legacy w:legacy="1" w:legacySpace="0" w:legacyIndent="0"/>
        <w:lvlJc w:val="left"/>
        <w:pPr>
          <w:ind w:left="0" w:firstLine="0"/>
        </w:pPr>
        <w:rPr>
          <w:rFonts w:ascii="Wingdings" w:hAnsi="Wingdings" w:hint="default"/>
          <w:sz w:val="27"/>
        </w:rPr>
      </w:lvl>
    </w:lvlOverride>
  </w:num>
  <w:num w:numId="40" w16cid:durableId="557714332">
    <w:abstractNumId w:val="0"/>
    <w:lvlOverride w:ilvl="0">
      <w:lvl w:ilvl="0">
        <w:numFmt w:val="decimal"/>
        <w:lvlText w:val=""/>
        <w:legacy w:legacy="1" w:legacySpace="0" w:legacyIndent="0"/>
        <w:lvlJc w:val="left"/>
        <w:pPr>
          <w:ind w:left="0" w:firstLine="0"/>
        </w:pPr>
        <w:rPr>
          <w:rFonts w:ascii="Wingdings" w:hAnsi="Wingdings" w:hint="default"/>
          <w:sz w:val="27"/>
        </w:rPr>
      </w:lvl>
    </w:lvlOverride>
  </w:num>
  <w:num w:numId="41" w16cid:durableId="369575018">
    <w:abstractNumId w:val="0"/>
    <w:lvlOverride w:ilvl="0">
      <w:lvl w:ilvl="0">
        <w:numFmt w:val="decimal"/>
        <w:lvlText w:val=""/>
        <w:legacy w:legacy="1" w:legacySpace="0" w:legacyIndent="0"/>
        <w:lvlJc w:val="left"/>
        <w:pPr>
          <w:ind w:left="0" w:firstLine="0"/>
        </w:pPr>
        <w:rPr>
          <w:rFonts w:ascii="Wingdings" w:hAnsi="Wingdings" w:hint="default"/>
          <w:sz w:val="27"/>
        </w:rPr>
      </w:lvl>
    </w:lvlOverride>
  </w:num>
  <w:num w:numId="42" w16cid:durableId="1567569841">
    <w:abstractNumId w:val="0"/>
    <w:lvlOverride w:ilvl="0">
      <w:lvl w:ilvl="0">
        <w:numFmt w:val="decimal"/>
        <w:lvlText w:val=""/>
        <w:legacy w:legacy="1" w:legacySpace="0" w:legacyIndent="0"/>
        <w:lvlJc w:val="left"/>
        <w:pPr>
          <w:ind w:left="0" w:firstLine="0"/>
        </w:pPr>
        <w:rPr>
          <w:rFonts w:ascii="Wingdings" w:hAnsi="Wingdings" w:hint="default"/>
          <w:sz w:val="49"/>
        </w:rPr>
      </w:lvl>
    </w:lvlOverride>
  </w:num>
  <w:num w:numId="43" w16cid:durableId="1369912830">
    <w:abstractNumId w:val="0"/>
    <w:lvlOverride w:ilvl="0">
      <w:lvl w:ilvl="0">
        <w:numFmt w:val="decimal"/>
        <w:lvlText w:val=""/>
        <w:legacy w:legacy="1" w:legacySpace="0" w:legacyIndent="0"/>
        <w:lvlJc w:val="left"/>
        <w:pPr>
          <w:ind w:left="0" w:firstLine="0"/>
        </w:pPr>
        <w:rPr>
          <w:rFonts w:ascii="Wingdings" w:hAnsi="Wingdings" w:hint="default"/>
          <w:sz w:val="36"/>
        </w:rPr>
      </w:lvl>
    </w:lvlOverride>
  </w:num>
  <w:num w:numId="44" w16cid:durableId="162087489">
    <w:abstractNumId w:val="0"/>
    <w:lvlOverride w:ilvl="0">
      <w:lvl w:ilvl="0">
        <w:numFmt w:val="decimal"/>
        <w:lvlText w:val=""/>
        <w:legacy w:legacy="1" w:legacySpace="0" w:legacyIndent="0"/>
        <w:lvlJc w:val="left"/>
        <w:pPr>
          <w:ind w:left="0" w:firstLine="0"/>
        </w:pPr>
        <w:rPr>
          <w:rFonts w:ascii="Wingdings" w:hAnsi="Wingdings" w:hint="default"/>
          <w:sz w:val="36"/>
        </w:rPr>
      </w:lvl>
    </w:lvlOverride>
  </w:num>
  <w:num w:numId="45" w16cid:durableId="1770853498">
    <w:abstractNumId w:val="0"/>
    <w:lvlOverride w:ilvl="0">
      <w:lvl w:ilvl="0">
        <w:numFmt w:val="decimal"/>
        <w:lvlText w:val=""/>
        <w:legacy w:legacy="1" w:legacySpace="0" w:legacyIndent="0"/>
        <w:lvlJc w:val="left"/>
        <w:pPr>
          <w:ind w:left="0" w:firstLine="0"/>
        </w:pPr>
        <w:rPr>
          <w:rFonts w:ascii="Wingdings" w:hAnsi="Wingdings" w:hint="default"/>
          <w:sz w:val="58"/>
        </w:rPr>
      </w:lvl>
    </w:lvlOverride>
  </w:num>
  <w:num w:numId="46" w16cid:durableId="871377544">
    <w:abstractNumId w:val="0"/>
    <w:lvlOverride w:ilvl="0">
      <w:lvl w:ilvl="0">
        <w:numFmt w:val="decimal"/>
        <w:lvlText w:val=""/>
        <w:legacy w:legacy="1" w:legacySpace="0" w:legacyIndent="0"/>
        <w:lvlJc w:val="left"/>
        <w:pPr>
          <w:ind w:left="0" w:firstLine="0"/>
        </w:pPr>
        <w:rPr>
          <w:rFonts w:ascii="Wingdings" w:hAnsi="Wingdings" w:hint="default"/>
          <w:sz w:val="34"/>
        </w:rPr>
      </w:lvl>
    </w:lvlOverride>
  </w:num>
  <w:num w:numId="47" w16cid:durableId="1487280107">
    <w:abstractNumId w:val="0"/>
    <w:lvlOverride w:ilvl="0">
      <w:lvl w:ilvl="0">
        <w:numFmt w:val="decimal"/>
        <w:lvlText w:val=""/>
        <w:legacy w:legacy="1" w:legacySpace="0" w:legacyIndent="0"/>
        <w:lvlJc w:val="left"/>
        <w:pPr>
          <w:ind w:left="0" w:firstLine="0"/>
        </w:pPr>
        <w:rPr>
          <w:rFonts w:ascii="Wingdings" w:hAnsi="Wingdings" w:hint="default"/>
          <w:sz w:val="34"/>
        </w:rPr>
      </w:lvl>
    </w:lvlOverride>
  </w:num>
  <w:num w:numId="48" w16cid:durableId="951401127">
    <w:abstractNumId w:val="0"/>
    <w:lvlOverride w:ilvl="0">
      <w:lvl w:ilvl="0">
        <w:numFmt w:val="decimal"/>
        <w:lvlText w:val="●"/>
        <w:legacy w:legacy="1" w:legacySpace="0" w:legacyIndent="0"/>
        <w:lvlJc w:val="left"/>
        <w:pPr>
          <w:ind w:left="0" w:firstLine="0"/>
        </w:pPr>
        <w:rPr>
          <w:rFonts w:ascii="Times New Roman" w:hAnsi="Times New Roman" w:cs="Times New Roman" w:hint="default"/>
          <w:sz w:val="32"/>
        </w:rPr>
      </w:lvl>
    </w:lvlOverride>
  </w:num>
  <w:num w:numId="49" w16cid:durableId="1700741664">
    <w:abstractNumId w:val="0"/>
    <w:lvlOverride w:ilvl="0">
      <w:lvl w:ilvl="0">
        <w:numFmt w:val="decimal"/>
        <w:lvlText w:val=""/>
        <w:legacy w:legacy="1" w:legacySpace="0" w:legacyIndent="0"/>
        <w:lvlJc w:val="left"/>
        <w:pPr>
          <w:ind w:left="0" w:firstLine="0"/>
        </w:pPr>
        <w:rPr>
          <w:rFonts w:ascii="Wingdings" w:hAnsi="Wingdings" w:hint="default"/>
          <w:sz w:val="36"/>
        </w:rPr>
      </w:lvl>
    </w:lvlOverride>
  </w:num>
  <w:num w:numId="50" w16cid:durableId="1957560354">
    <w:abstractNumId w:val="0"/>
    <w:lvlOverride w:ilvl="0">
      <w:lvl w:ilvl="0">
        <w:numFmt w:val="decimal"/>
        <w:lvlText w:val=""/>
        <w:legacy w:legacy="1" w:legacySpace="0" w:legacyIndent="0"/>
        <w:lvlJc w:val="left"/>
        <w:pPr>
          <w:ind w:left="0" w:firstLine="0"/>
        </w:pPr>
        <w:rPr>
          <w:rFonts w:ascii="Wingdings" w:hAnsi="Wingdings" w:hint="default"/>
          <w:sz w:val="40"/>
        </w:rPr>
      </w:lvl>
    </w:lvlOverride>
  </w:num>
  <w:num w:numId="51" w16cid:durableId="1578246926">
    <w:abstractNumId w:val="42"/>
  </w:num>
  <w:num w:numId="52" w16cid:durableId="906960576">
    <w:abstractNumId w:val="42"/>
  </w:num>
  <w:num w:numId="53" w16cid:durableId="150871532">
    <w:abstractNumId w:val="42"/>
  </w:num>
  <w:num w:numId="54" w16cid:durableId="1058675263">
    <w:abstractNumId w:val="42"/>
  </w:num>
  <w:num w:numId="55" w16cid:durableId="443771604">
    <w:abstractNumId w:val="42"/>
  </w:num>
  <w:num w:numId="56" w16cid:durableId="872302835">
    <w:abstractNumId w:val="42"/>
  </w:num>
  <w:num w:numId="57" w16cid:durableId="886600978">
    <w:abstractNumId w:val="42"/>
  </w:num>
  <w:num w:numId="58" w16cid:durableId="1659921336">
    <w:abstractNumId w:val="42"/>
  </w:num>
  <w:num w:numId="59" w16cid:durableId="1973897262">
    <w:abstractNumId w:val="42"/>
  </w:num>
  <w:num w:numId="60" w16cid:durableId="1636108282">
    <w:abstractNumId w:val="42"/>
  </w:num>
  <w:num w:numId="61" w16cid:durableId="541862827">
    <w:abstractNumId w:val="42"/>
  </w:num>
  <w:num w:numId="62" w16cid:durableId="617182055">
    <w:abstractNumId w:val="42"/>
  </w:num>
  <w:num w:numId="63" w16cid:durableId="478614905">
    <w:abstractNumId w:val="42"/>
  </w:num>
  <w:num w:numId="64" w16cid:durableId="1167207541">
    <w:abstractNumId w:val="42"/>
  </w:num>
  <w:num w:numId="65" w16cid:durableId="2127969435">
    <w:abstractNumId w:val="42"/>
  </w:num>
  <w:num w:numId="66" w16cid:durableId="1022054059">
    <w:abstractNumId w:val="42"/>
  </w:num>
  <w:num w:numId="67" w16cid:durableId="1175076737">
    <w:abstractNumId w:val="42"/>
  </w:num>
  <w:num w:numId="68" w16cid:durableId="1202017937">
    <w:abstractNumId w:val="42"/>
  </w:num>
  <w:num w:numId="69" w16cid:durableId="540213573">
    <w:abstractNumId w:val="42"/>
  </w:num>
  <w:num w:numId="70" w16cid:durableId="953054449">
    <w:abstractNumId w:val="42"/>
  </w:num>
  <w:num w:numId="71" w16cid:durableId="1395815864">
    <w:abstractNumId w:val="42"/>
  </w:num>
  <w:num w:numId="72" w16cid:durableId="1617440735">
    <w:abstractNumId w:val="42"/>
  </w:num>
  <w:num w:numId="73" w16cid:durableId="236789104">
    <w:abstractNumId w:val="42"/>
  </w:num>
  <w:num w:numId="74" w16cid:durableId="1010909783">
    <w:abstractNumId w:val="42"/>
  </w:num>
  <w:num w:numId="75" w16cid:durableId="1325355359">
    <w:abstractNumId w:val="42"/>
  </w:num>
  <w:num w:numId="76" w16cid:durableId="1798989621">
    <w:abstractNumId w:val="42"/>
  </w:num>
  <w:num w:numId="77" w16cid:durableId="849372174">
    <w:abstractNumId w:val="42"/>
  </w:num>
  <w:num w:numId="78" w16cid:durableId="1687513671">
    <w:abstractNumId w:val="42"/>
  </w:num>
  <w:num w:numId="79" w16cid:durableId="286280443">
    <w:abstractNumId w:val="51"/>
  </w:num>
  <w:num w:numId="80" w16cid:durableId="2000108424">
    <w:abstractNumId w:val="23"/>
  </w:num>
  <w:num w:numId="81" w16cid:durableId="1621184708">
    <w:abstractNumId w:val="30"/>
  </w:num>
  <w:num w:numId="82" w16cid:durableId="484322212">
    <w:abstractNumId w:val="42"/>
  </w:num>
  <w:num w:numId="83" w16cid:durableId="1878350278">
    <w:abstractNumId w:val="55"/>
  </w:num>
  <w:num w:numId="84" w16cid:durableId="1162814376">
    <w:abstractNumId w:val="24"/>
  </w:num>
  <w:num w:numId="85" w16cid:durableId="1914196449">
    <w:abstractNumId w:val="69"/>
  </w:num>
  <w:num w:numId="86" w16cid:durableId="1662080641">
    <w:abstractNumId w:val="61"/>
  </w:num>
  <w:num w:numId="87" w16cid:durableId="176045672">
    <w:abstractNumId w:val="50"/>
  </w:num>
  <w:num w:numId="88" w16cid:durableId="466894859">
    <w:abstractNumId w:val="37"/>
  </w:num>
  <w:num w:numId="89" w16cid:durableId="1218054680">
    <w:abstractNumId w:val="66"/>
  </w:num>
  <w:num w:numId="90" w16cid:durableId="2059667581">
    <w:abstractNumId w:val="1"/>
  </w:num>
  <w:num w:numId="91" w16cid:durableId="212354584">
    <w:abstractNumId w:val="57"/>
  </w:num>
  <w:num w:numId="92" w16cid:durableId="148787095">
    <w:abstractNumId w:val="32"/>
  </w:num>
  <w:num w:numId="93" w16cid:durableId="1095902058">
    <w:abstractNumId w:val="45"/>
  </w:num>
  <w:num w:numId="94" w16cid:durableId="1283729102">
    <w:abstractNumId w:val="59"/>
  </w:num>
  <w:num w:numId="95" w16cid:durableId="1854758416">
    <w:abstractNumId w:val="62"/>
  </w:num>
  <w:num w:numId="96" w16cid:durableId="425656710">
    <w:abstractNumId w:val="42"/>
  </w:num>
  <w:num w:numId="97" w16cid:durableId="1901284761">
    <w:abstractNumId w:val="7"/>
  </w:num>
  <w:num w:numId="98" w16cid:durableId="1195265869">
    <w:abstractNumId w:val="68"/>
  </w:num>
  <w:num w:numId="99" w16cid:durableId="2033459385">
    <w:abstractNumId w:val="4"/>
  </w:num>
  <w:num w:numId="100" w16cid:durableId="1859539828">
    <w:abstractNumId w:val="41"/>
  </w:num>
  <w:num w:numId="101" w16cid:durableId="1677266148">
    <w:abstractNumId w:val="43"/>
  </w:num>
  <w:num w:numId="102" w16cid:durableId="1112633972">
    <w:abstractNumId w:val="22"/>
  </w:num>
  <w:num w:numId="103" w16cid:durableId="1781561259">
    <w:abstractNumId w:val="39"/>
  </w:num>
  <w:num w:numId="104" w16cid:durableId="254943196">
    <w:abstractNumId w:val="73"/>
  </w:num>
  <w:num w:numId="105" w16cid:durableId="414329824">
    <w:abstractNumId w:val="42"/>
  </w:num>
  <w:num w:numId="106" w16cid:durableId="451898034">
    <w:abstractNumId w:val="40"/>
  </w:num>
  <w:num w:numId="107" w16cid:durableId="1885940100">
    <w:abstractNumId w:val="70"/>
  </w:num>
  <w:num w:numId="108" w16cid:durableId="575555167">
    <w:abstractNumId w:val="47"/>
  </w:num>
  <w:num w:numId="109" w16cid:durableId="1250968750">
    <w:abstractNumId w:val="5"/>
  </w:num>
  <w:num w:numId="110" w16cid:durableId="1264872934">
    <w:abstractNumId w:val="42"/>
  </w:num>
  <w:num w:numId="111" w16cid:durableId="651254488">
    <w:abstractNumId w:val="42"/>
  </w:num>
  <w:num w:numId="112" w16cid:durableId="1414543827">
    <w:abstractNumId w:val="42"/>
  </w:num>
  <w:num w:numId="113" w16cid:durableId="1345595657">
    <w:abstractNumId w:val="42"/>
  </w:num>
  <w:num w:numId="114" w16cid:durableId="316035640">
    <w:abstractNumId w:val="42"/>
  </w:num>
  <w:num w:numId="115" w16cid:durableId="2139181132">
    <w:abstractNumId w:val="42"/>
  </w:num>
  <w:num w:numId="116" w16cid:durableId="426003822">
    <w:abstractNumId w:val="42"/>
  </w:num>
  <w:num w:numId="117" w16cid:durableId="780102705">
    <w:abstractNumId w:val="42"/>
  </w:num>
  <w:num w:numId="118" w16cid:durableId="1751273005">
    <w:abstractNumId w:val="42"/>
  </w:num>
  <w:num w:numId="119" w16cid:durableId="2101443805">
    <w:abstractNumId w:val="42"/>
  </w:num>
  <w:num w:numId="120" w16cid:durableId="1314721382">
    <w:abstractNumId w:val="42"/>
  </w:num>
  <w:num w:numId="121" w16cid:durableId="402486823">
    <w:abstractNumId w:val="42"/>
  </w:num>
  <w:num w:numId="122" w16cid:durableId="20401258">
    <w:abstractNumId w:val="42"/>
  </w:num>
  <w:num w:numId="123" w16cid:durableId="725684850">
    <w:abstractNumId w:val="42"/>
  </w:num>
  <w:num w:numId="124" w16cid:durableId="204299805">
    <w:abstractNumId w:val="42"/>
  </w:num>
  <w:num w:numId="125" w16cid:durableId="1184056034">
    <w:abstractNumId w:val="42"/>
  </w:num>
  <w:num w:numId="126" w16cid:durableId="1088697561">
    <w:abstractNumId w:val="42"/>
  </w:num>
  <w:num w:numId="127" w16cid:durableId="124860221">
    <w:abstractNumId w:val="42"/>
  </w:num>
  <w:num w:numId="128" w16cid:durableId="1964340169">
    <w:abstractNumId w:val="42"/>
  </w:num>
  <w:num w:numId="129" w16cid:durableId="959919797">
    <w:abstractNumId w:val="42"/>
  </w:num>
  <w:num w:numId="130" w16cid:durableId="1357003702">
    <w:abstractNumId w:val="42"/>
  </w:num>
  <w:num w:numId="131" w16cid:durableId="1841848872">
    <w:abstractNumId w:val="42"/>
  </w:num>
  <w:num w:numId="132" w16cid:durableId="1904636244">
    <w:abstractNumId w:val="42"/>
  </w:num>
  <w:num w:numId="133" w16cid:durableId="1369716994">
    <w:abstractNumId w:val="42"/>
  </w:num>
  <w:num w:numId="134" w16cid:durableId="2103916813">
    <w:abstractNumId w:val="42"/>
  </w:num>
  <w:num w:numId="135" w16cid:durableId="2136437584">
    <w:abstractNumId w:val="42"/>
  </w:num>
  <w:num w:numId="136" w16cid:durableId="1360085241">
    <w:abstractNumId w:val="42"/>
  </w:num>
  <w:num w:numId="137" w16cid:durableId="1487014126">
    <w:abstractNumId w:val="53"/>
  </w:num>
  <w:num w:numId="138" w16cid:durableId="74937620">
    <w:abstractNumId w:val="2"/>
  </w:num>
  <w:num w:numId="139" w16cid:durableId="821317703">
    <w:abstractNumId w:val="65"/>
  </w:num>
  <w:num w:numId="140" w16cid:durableId="2079740453">
    <w:abstractNumId w:val="8"/>
  </w:num>
  <w:num w:numId="141" w16cid:durableId="947810359">
    <w:abstractNumId w:val="44"/>
  </w:num>
  <w:num w:numId="142" w16cid:durableId="1488127498">
    <w:abstractNumId w:val="52"/>
  </w:num>
  <w:num w:numId="143" w16cid:durableId="1063140704">
    <w:abstractNumId w:val="54"/>
  </w:num>
  <w:num w:numId="144" w16cid:durableId="30813317">
    <w:abstractNumId w:val="28"/>
  </w:num>
  <w:num w:numId="145" w16cid:durableId="422340168">
    <w:abstractNumId w:val="56"/>
  </w:num>
  <w:num w:numId="146" w16cid:durableId="878588280">
    <w:abstractNumId w:val="67"/>
  </w:num>
  <w:num w:numId="147" w16cid:durableId="1940135638">
    <w:abstractNumId w:val="25"/>
  </w:num>
  <w:num w:numId="148" w16cid:durableId="1798915460">
    <w:abstractNumId w:val="13"/>
  </w:num>
  <w:num w:numId="149" w16cid:durableId="986977283">
    <w:abstractNumId w:val="10"/>
  </w:num>
  <w:num w:numId="150" w16cid:durableId="1781680680">
    <w:abstractNumId w:val="21"/>
  </w:num>
  <w:num w:numId="151" w16cid:durableId="2128959567">
    <w:abstractNumId w:val="26"/>
  </w:num>
  <w:num w:numId="152" w16cid:durableId="539056195">
    <w:abstractNumId w:val="49"/>
  </w:num>
  <w:num w:numId="153" w16cid:durableId="1288781693">
    <w:abstractNumId w:val="48"/>
  </w:num>
  <w:num w:numId="154" w16cid:durableId="21984191">
    <w:abstractNumId w:val="35"/>
  </w:num>
  <w:num w:numId="155" w16cid:durableId="854198877">
    <w:abstractNumId w:val="36"/>
  </w:num>
  <w:num w:numId="156" w16cid:durableId="1850100174">
    <w:abstractNumId w:val="14"/>
  </w:num>
  <w:num w:numId="157" w16cid:durableId="1017393727">
    <w:abstractNumId w:val="6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D80"/>
    <w:rsid w:val="000065CE"/>
    <w:rsid w:val="000138E1"/>
    <w:rsid w:val="00016FF9"/>
    <w:rsid w:val="00020B95"/>
    <w:rsid w:val="00023070"/>
    <w:rsid w:val="00032960"/>
    <w:rsid w:val="000471F1"/>
    <w:rsid w:val="000574F0"/>
    <w:rsid w:val="0006778D"/>
    <w:rsid w:val="00067AFA"/>
    <w:rsid w:val="00071E5A"/>
    <w:rsid w:val="00073D00"/>
    <w:rsid w:val="00073DDF"/>
    <w:rsid w:val="00075588"/>
    <w:rsid w:val="000776D4"/>
    <w:rsid w:val="000805DB"/>
    <w:rsid w:val="0008101D"/>
    <w:rsid w:val="000820C5"/>
    <w:rsid w:val="00086FDF"/>
    <w:rsid w:val="0008715A"/>
    <w:rsid w:val="000873FC"/>
    <w:rsid w:val="00087CD7"/>
    <w:rsid w:val="0009115A"/>
    <w:rsid w:val="00091703"/>
    <w:rsid w:val="0009593D"/>
    <w:rsid w:val="00095CF7"/>
    <w:rsid w:val="000A4A00"/>
    <w:rsid w:val="000B0D97"/>
    <w:rsid w:val="000B5F2B"/>
    <w:rsid w:val="000C096D"/>
    <w:rsid w:val="000D4C26"/>
    <w:rsid w:val="000D7270"/>
    <w:rsid w:val="000E30AD"/>
    <w:rsid w:val="000E63D1"/>
    <w:rsid w:val="000F4AF2"/>
    <w:rsid w:val="00102F6C"/>
    <w:rsid w:val="001040B3"/>
    <w:rsid w:val="00104475"/>
    <w:rsid w:val="00115766"/>
    <w:rsid w:val="0012313D"/>
    <w:rsid w:val="00131C49"/>
    <w:rsid w:val="00132718"/>
    <w:rsid w:val="00143010"/>
    <w:rsid w:val="00155670"/>
    <w:rsid w:val="001564A3"/>
    <w:rsid w:val="00170F23"/>
    <w:rsid w:val="001762F8"/>
    <w:rsid w:val="00176AC2"/>
    <w:rsid w:val="0018190B"/>
    <w:rsid w:val="00183ECF"/>
    <w:rsid w:val="001922DF"/>
    <w:rsid w:val="00192A5C"/>
    <w:rsid w:val="00196864"/>
    <w:rsid w:val="00196EB0"/>
    <w:rsid w:val="001A25E2"/>
    <w:rsid w:val="001A353C"/>
    <w:rsid w:val="001A4D45"/>
    <w:rsid w:val="001B4E9D"/>
    <w:rsid w:val="001C3834"/>
    <w:rsid w:val="001C7630"/>
    <w:rsid w:val="001D64D6"/>
    <w:rsid w:val="001E1819"/>
    <w:rsid w:val="001E2FB2"/>
    <w:rsid w:val="001E46AA"/>
    <w:rsid w:val="001E5843"/>
    <w:rsid w:val="00203A6C"/>
    <w:rsid w:val="002041DF"/>
    <w:rsid w:val="00205436"/>
    <w:rsid w:val="002061A8"/>
    <w:rsid w:val="00214147"/>
    <w:rsid w:val="00247815"/>
    <w:rsid w:val="00250F03"/>
    <w:rsid w:val="00255E97"/>
    <w:rsid w:val="00256197"/>
    <w:rsid w:val="00260E3E"/>
    <w:rsid w:val="00281626"/>
    <w:rsid w:val="00286FFC"/>
    <w:rsid w:val="00291474"/>
    <w:rsid w:val="002951CB"/>
    <w:rsid w:val="0029562E"/>
    <w:rsid w:val="002A7F2B"/>
    <w:rsid w:val="002C1527"/>
    <w:rsid w:val="002C59D9"/>
    <w:rsid w:val="002C7976"/>
    <w:rsid w:val="002D306A"/>
    <w:rsid w:val="002D4492"/>
    <w:rsid w:val="002D7A78"/>
    <w:rsid w:val="002E1190"/>
    <w:rsid w:val="002E3B8A"/>
    <w:rsid w:val="003078C8"/>
    <w:rsid w:val="00323B21"/>
    <w:rsid w:val="00333C62"/>
    <w:rsid w:val="00336634"/>
    <w:rsid w:val="0034517D"/>
    <w:rsid w:val="0035072A"/>
    <w:rsid w:val="00354B6B"/>
    <w:rsid w:val="00355E65"/>
    <w:rsid w:val="00360981"/>
    <w:rsid w:val="00365371"/>
    <w:rsid w:val="00390A89"/>
    <w:rsid w:val="0039784F"/>
    <w:rsid w:val="003A299D"/>
    <w:rsid w:val="003A6689"/>
    <w:rsid w:val="003C05B5"/>
    <w:rsid w:val="003C1DFC"/>
    <w:rsid w:val="003C1F17"/>
    <w:rsid w:val="003F00AE"/>
    <w:rsid w:val="003F0330"/>
    <w:rsid w:val="003F3522"/>
    <w:rsid w:val="004020C3"/>
    <w:rsid w:val="00415F1E"/>
    <w:rsid w:val="00431611"/>
    <w:rsid w:val="0043544A"/>
    <w:rsid w:val="00442CB9"/>
    <w:rsid w:val="00446B8A"/>
    <w:rsid w:val="00453BD5"/>
    <w:rsid w:val="00454E36"/>
    <w:rsid w:val="00461119"/>
    <w:rsid w:val="00461B8D"/>
    <w:rsid w:val="00472EC6"/>
    <w:rsid w:val="00482A8A"/>
    <w:rsid w:val="00487F04"/>
    <w:rsid w:val="004A192B"/>
    <w:rsid w:val="004A5B2C"/>
    <w:rsid w:val="004B0BFA"/>
    <w:rsid w:val="004B1A9F"/>
    <w:rsid w:val="004B2DC5"/>
    <w:rsid w:val="004D3B12"/>
    <w:rsid w:val="004D7E26"/>
    <w:rsid w:val="00507797"/>
    <w:rsid w:val="00510165"/>
    <w:rsid w:val="00514F17"/>
    <w:rsid w:val="00521345"/>
    <w:rsid w:val="005230ED"/>
    <w:rsid w:val="00523CB8"/>
    <w:rsid w:val="00533945"/>
    <w:rsid w:val="005342A5"/>
    <w:rsid w:val="00534E27"/>
    <w:rsid w:val="005419FE"/>
    <w:rsid w:val="0055506D"/>
    <w:rsid w:val="005574DF"/>
    <w:rsid w:val="00576BC0"/>
    <w:rsid w:val="00581F17"/>
    <w:rsid w:val="005835A3"/>
    <w:rsid w:val="0058540A"/>
    <w:rsid w:val="005A1445"/>
    <w:rsid w:val="005A39FD"/>
    <w:rsid w:val="005A4488"/>
    <w:rsid w:val="005A5034"/>
    <w:rsid w:val="005B20A3"/>
    <w:rsid w:val="005B2DEF"/>
    <w:rsid w:val="005B5808"/>
    <w:rsid w:val="005D034E"/>
    <w:rsid w:val="005D03C2"/>
    <w:rsid w:val="005D4091"/>
    <w:rsid w:val="005D5403"/>
    <w:rsid w:val="005D540F"/>
    <w:rsid w:val="005E20D0"/>
    <w:rsid w:val="005E6729"/>
    <w:rsid w:val="005E6C12"/>
    <w:rsid w:val="005F2ADC"/>
    <w:rsid w:val="005F3137"/>
    <w:rsid w:val="005F3259"/>
    <w:rsid w:val="005F6887"/>
    <w:rsid w:val="006019BF"/>
    <w:rsid w:val="0061252C"/>
    <w:rsid w:val="00616C29"/>
    <w:rsid w:val="00616F92"/>
    <w:rsid w:val="00624B52"/>
    <w:rsid w:val="006252EC"/>
    <w:rsid w:val="006266E4"/>
    <w:rsid w:val="0062673D"/>
    <w:rsid w:val="00627CB1"/>
    <w:rsid w:val="00631C52"/>
    <w:rsid w:val="00651AB3"/>
    <w:rsid w:val="006546A8"/>
    <w:rsid w:val="00660B34"/>
    <w:rsid w:val="00673B3B"/>
    <w:rsid w:val="00680F13"/>
    <w:rsid w:val="00682724"/>
    <w:rsid w:val="00684571"/>
    <w:rsid w:val="00684647"/>
    <w:rsid w:val="0068746B"/>
    <w:rsid w:val="006900C1"/>
    <w:rsid w:val="0069792C"/>
    <w:rsid w:val="006D1B69"/>
    <w:rsid w:val="006F0C5B"/>
    <w:rsid w:val="006F50A8"/>
    <w:rsid w:val="006F5DC2"/>
    <w:rsid w:val="00700263"/>
    <w:rsid w:val="007004DA"/>
    <w:rsid w:val="0070639D"/>
    <w:rsid w:val="0071005E"/>
    <w:rsid w:val="0071025E"/>
    <w:rsid w:val="00714A09"/>
    <w:rsid w:val="00730E0C"/>
    <w:rsid w:val="00734C6E"/>
    <w:rsid w:val="0073788D"/>
    <w:rsid w:val="00743578"/>
    <w:rsid w:val="00754DB9"/>
    <w:rsid w:val="00764111"/>
    <w:rsid w:val="00771FD8"/>
    <w:rsid w:val="00790A9A"/>
    <w:rsid w:val="007C1EAC"/>
    <w:rsid w:val="007C5058"/>
    <w:rsid w:val="007E0BF0"/>
    <w:rsid w:val="007E0E68"/>
    <w:rsid w:val="007E1671"/>
    <w:rsid w:val="007E4573"/>
    <w:rsid w:val="007E5385"/>
    <w:rsid w:val="007F1987"/>
    <w:rsid w:val="008118F5"/>
    <w:rsid w:val="00811ADB"/>
    <w:rsid w:val="0081298E"/>
    <w:rsid w:val="008157C9"/>
    <w:rsid w:val="00816C0D"/>
    <w:rsid w:val="008225AD"/>
    <w:rsid w:val="00826467"/>
    <w:rsid w:val="00835076"/>
    <w:rsid w:val="00835E53"/>
    <w:rsid w:val="008372D1"/>
    <w:rsid w:val="00840F15"/>
    <w:rsid w:val="00843B2D"/>
    <w:rsid w:val="00844091"/>
    <w:rsid w:val="00855009"/>
    <w:rsid w:val="008578E8"/>
    <w:rsid w:val="00882396"/>
    <w:rsid w:val="008A3F5E"/>
    <w:rsid w:val="008C4D68"/>
    <w:rsid w:val="008D29B0"/>
    <w:rsid w:val="008D6698"/>
    <w:rsid w:val="008E7AF4"/>
    <w:rsid w:val="008F498A"/>
    <w:rsid w:val="009050BE"/>
    <w:rsid w:val="00913331"/>
    <w:rsid w:val="00924770"/>
    <w:rsid w:val="00927229"/>
    <w:rsid w:val="00933EA8"/>
    <w:rsid w:val="0095071F"/>
    <w:rsid w:val="009513A9"/>
    <w:rsid w:val="00951CD2"/>
    <w:rsid w:val="0095374D"/>
    <w:rsid w:val="009828A8"/>
    <w:rsid w:val="00983CF8"/>
    <w:rsid w:val="0099023D"/>
    <w:rsid w:val="0099144C"/>
    <w:rsid w:val="00996A36"/>
    <w:rsid w:val="00996A44"/>
    <w:rsid w:val="009A2EB5"/>
    <w:rsid w:val="009A3C89"/>
    <w:rsid w:val="009A5126"/>
    <w:rsid w:val="009A7E24"/>
    <w:rsid w:val="009B4431"/>
    <w:rsid w:val="009B5A46"/>
    <w:rsid w:val="009C03B3"/>
    <w:rsid w:val="009D70EC"/>
    <w:rsid w:val="009D758C"/>
    <w:rsid w:val="009E27C7"/>
    <w:rsid w:val="009E4651"/>
    <w:rsid w:val="009E47FD"/>
    <w:rsid w:val="009F58C3"/>
    <w:rsid w:val="009F6F7B"/>
    <w:rsid w:val="00A00329"/>
    <w:rsid w:val="00A00941"/>
    <w:rsid w:val="00A01995"/>
    <w:rsid w:val="00A041BF"/>
    <w:rsid w:val="00A0722D"/>
    <w:rsid w:val="00A11CDF"/>
    <w:rsid w:val="00A142DB"/>
    <w:rsid w:val="00A227C8"/>
    <w:rsid w:val="00A266F7"/>
    <w:rsid w:val="00A26746"/>
    <w:rsid w:val="00A303EB"/>
    <w:rsid w:val="00A371EF"/>
    <w:rsid w:val="00A4156A"/>
    <w:rsid w:val="00A4179C"/>
    <w:rsid w:val="00A42363"/>
    <w:rsid w:val="00A425E2"/>
    <w:rsid w:val="00A46394"/>
    <w:rsid w:val="00A65B90"/>
    <w:rsid w:val="00A70680"/>
    <w:rsid w:val="00A734C1"/>
    <w:rsid w:val="00A74641"/>
    <w:rsid w:val="00A74AFB"/>
    <w:rsid w:val="00A766F4"/>
    <w:rsid w:val="00A852FC"/>
    <w:rsid w:val="00A94D29"/>
    <w:rsid w:val="00AA00ED"/>
    <w:rsid w:val="00AA2191"/>
    <w:rsid w:val="00AA7236"/>
    <w:rsid w:val="00AB3B1F"/>
    <w:rsid w:val="00AB4EC6"/>
    <w:rsid w:val="00AB51F3"/>
    <w:rsid w:val="00AD1912"/>
    <w:rsid w:val="00AE00E0"/>
    <w:rsid w:val="00AE2873"/>
    <w:rsid w:val="00AE29C8"/>
    <w:rsid w:val="00AE2B81"/>
    <w:rsid w:val="00AF1BFE"/>
    <w:rsid w:val="00AF33F6"/>
    <w:rsid w:val="00AF4B8A"/>
    <w:rsid w:val="00B01EDB"/>
    <w:rsid w:val="00B03A80"/>
    <w:rsid w:val="00B160FD"/>
    <w:rsid w:val="00B20332"/>
    <w:rsid w:val="00B20AFD"/>
    <w:rsid w:val="00B24A63"/>
    <w:rsid w:val="00B330AF"/>
    <w:rsid w:val="00B33405"/>
    <w:rsid w:val="00B344CD"/>
    <w:rsid w:val="00B43701"/>
    <w:rsid w:val="00B43DED"/>
    <w:rsid w:val="00B47BCA"/>
    <w:rsid w:val="00B51B11"/>
    <w:rsid w:val="00B56B30"/>
    <w:rsid w:val="00B61D80"/>
    <w:rsid w:val="00B66E4F"/>
    <w:rsid w:val="00B76987"/>
    <w:rsid w:val="00B90026"/>
    <w:rsid w:val="00B917CA"/>
    <w:rsid w:val="00B9237F"/>
    <w:rsid w:val="00B95314"/>
    <w:rsid w:val="00B96CC0"/>
    <w:rsid w:val="00BA0023"/>
    <w:rsid w:val="00BA234A"/>
    <w:rsid w:val="00BA345A"/>
    <w:rsid w:val="00BA3F66"/>
    <w:rsid w:val="00BA4C7C"/>
    <w:rsid w:val="00BA6953"/>
    <w:rsid w:val="00BB2946"/>
    <w:rsid w:val="00BB441F"/>
    <w:rsid w:val="00BC4D64"/>
    <w:rsid w:val="00BC62E2"/>
    <w:rsid w:val="00BD08CC"/>
    <w:rsid w:val="00BD2BA2"/>
    <w:rsid w:val="00BE7A97"/>
    <w:rsid w:val="00BF6F4E"/>
    <w:rsid w:val="00C01ACF"/>
    <w:rsid w:val="00C25A3B"/>
    <w:rsid w:val="00C3157D"/>
    <w:rsid w:val="00C3203F"/>
    <w:rsid w:val="00C346C3"/>
    <w:rsid w:val="00C35207"/>
    <w:rsid w:val="00C369B7"/>
    <w:rsid w:val="00C3704E"/>
    <w:rsid w:val="00C432D3"/>
    <w:rsid w:val="00C45C27"/>
    <w:rsid w:val="00C47F88"/>
    <w:rsid w:val="00C51891"/>
    <w:rsid w:val="00C5237B"/>
    <w:rsid w:val="00C55892"/>
    <w:rsid w:val="00C56846"/>
    <w:rsid w:val="00C71D44"/>
    <w:rsid w:val="00C754CC"/>
    <w:rsid w:val="00C8111C"/>
    <w:rsid w:val="00C86E80"/>
    <w:rsid w:val="00CA7453"/>
    <w:rsid w:val="00CB0D49"/>
    <w:rsid w:val="00CB39DA"/>
    <w:rsid w:val="00CB5D6B"/>
    <w:rsid w:val="00CB69E7"/>
    <w:rsid w:val="00CC2BA4"/>
    <w:rsid w:val="00CD5D15"/>
    <w:rsid w:val="00CE4BD1"/>
    <w:rsid w:val="00CF27D7"/>
    <w:rsid w:val="00CF59E2"/>
    <w:rsid w:val="00D15783"/>
    <w:rsid w:val="00D17408"/>
    <w:rsid w:val="00D23F37"/>
    <w:rsid w:val="00D45C28"/>
    <w:rsid w:val="00D52381"/>
    <w:rsid w:val="00D54BEB"/>
    <w:rsid w:val="00D66211"/>
    <w:rsid w:val="00D77678"/>
    <w:rsid w:val="00D77DE3"/>
    <w:rsid w:val="00D835BC"/>
    <w:rsid w:val="00D84622"/>
    <w:rsid w:val="00D91CBD"/>
    <w:rsid w:val="00DA292B"/>
    <w:rsid w:val="00DA5320"/>
    <w:rsid w:val="00DA6DD4"/>
    <w:rsid w:val="00DA6F4E"/>
    <w:rsid w:val="00DB369D"/>
    <w:rsid w:val="00DC58F5"/>
    <w:rsid w:val="00DD0B90"/>
    <w:rsid w:val="00DD597B"/>
    <w:rsid w:val="00DD61A2"/>
    <w:rsid w:val="00DE06E9"/>
    <w:rsid w:val="00DE40E3"/>
    <w:rsid w:val="00DE615F"/>
    <w:rsid w:val="00DE6C33"/>
    <w:rsid w:val="00DF12F9"/>
    <w:rsid w:val="00DF52CC"/>
    <w:rsid w:val="00DF5A16"/>
    <w:rsid w:val="00DF7843"/>
    <w:rsid w:val="00E12742"/>
    <w:rsid w:val="00E142B2"/>
    <w:rsid w:val="00E26410"/>
    <w:rsid w:val="00E30ADF"/>
    <w:rsid w:val="00E3783D"/>
    <w:rsid w:val="00E37D17"/>
    <w:rsid w:val="00E55BB6"/>
    <w:rsid w:val="00E56D9E"/>
    <w:rsid w:val="00E61ADB"/>
    <w:rsid w:val="00E803A4"/>
    <w:rsid w:val="00EA4708"/>
    <w:rsid w:val="00EA6B2D"/>
    <w:rsid w:val="00EA7373"/>
    <w:rsid w:val="00EB64BA"/>
    <w:rsid w:val="00EC48BE"/>
    <w:rsid w:val="00EC5AB6"/>
    <w:rsid w:val="00EF6B69"/>
    <w:rsid w:val="00F046B7"/>
    <w:rsid w:val="00F06A57"/>
    <w:rsid w:val="00F1246F"/>
    <w:rsid w:val="00F1423A"/>
    <w:rsid w:val="00F2174E"/>
    <w:rsid w:val="00F21D2D"/>
    <w:rsid w:val="00F224A5"/>
    <w:rsid w:val="00F4590C"/>
    <w:rsid w:val="00F56A96"/>
    <w:rsid w:val="00F574E7"/>
    <w:rsid w:val="00F741C5"/>
    <w:rsid w:val="00F767A4"/>
    <w:rsid w:val="00F8320D"/>
    <w:rsid w:val="00F87054"/>
    <w:rsid w:val="00FA2F9E"/>
    <w:rsid w:val="00FB4AD3"/>
    <w:rsid w:val="00FB745D"/>
    <w:rsid w:val="00FC4E46"/>
    <w:rsid w:val="00FC712C"/>
    <w:rsid w:val="00FD2A6E"/>
    <w:rsid w:val="00FD56FA"/>
    <w:rsid w:val="00FE37F7"/>
    <w:rsid w:val="00FE72F6"/>
    <w:rsid w:val="00FF1562"/>
    <w:rsid w:val="00FF5C06"/>
    <w:rsid w:val="00FF6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4184C"/>
  <w15:chartTrackingRefBased/>
  <w15:docId w15:val="{2CE74553-1AD1-4D6B-9017-1333D5ECA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960"/>
    <w:pPr>
      <w:spacing w:after="0" w:line="400" w:lineRule="exact"/>
    </w:pPr>
    <w:rPr>
      <w:sz w:val="28"/>
    </w:rPr>
  </w:style>
  <w:style w:type="paragraph" w:styleId="Heading1">
    <w:name w:val="heading 1"/>
    <w:basedOn w:val="Normal"/>
    <w:next w:val="Normal"/>
    <w:link w:val="Heading1Char"/>
    <w:autoRedefine/>
    <w:uiPriority w:val="9"/>
    <w:qFormat/>
    <w:rsid w:val="00071E5A"/>
    <w:pPr>
      <w:keepNext/>
      <w:keepLines/>
      <w:spacing w:after="120" w:line="264" w:lineRule="auto"/>
      <w:outlineLvl w:val="0"/>
    </w:pPr>
    <w:rPr>
      <w:rFonts w:eastAsia="Times New Roman" w:cstheme="majorBidi"/>
      <w:b/>
      <w:bCs/>
      <w:color w:val="254264" w:themeColor="accent6"/>
      <w:spacing w:val="6"/>
      <w:sz w:val="56"/>
      <w:szCs w:val="56"/>
      <w:lang w:val="en"/>
    </w:rPr>
  </w:style>
  <w:style w:type="paragraph" w:styleId="Heading2">
    <w:name w:val="heading 2"/>
    <w:basedOn w:val="Normal"/>
    <w:next w:val="Normal"/>
    <w:link w:val="Heading2Char"/>
    <w:autoRedefine/>
    <w:uiPriority w:val="9"/>
    <w:unhideWhenUsed/>
    <w:qFormat/>
    <w:rsid w:val="003C1F17"/>
    <w:pPr>
      <w:keepNext/>
      <w:keepLines/>
      <w:numPr>
        <w:numId w:val="2"/>
      </w:numPr>
      <w:tabs>
        <w:tab w:val="left" w:pos="900"/>
      </w:tabs>
      <w:spacing w:before="480" w:after="240"/>
      <w:ind w:left="1627" w:hanging="1627"/>
      <w:outlineLvl w:val="1"/>
    </w:pPr>
    <w:rPr>
      <w:rFonts w:cstheme="majorBidi"/>
      <w:b/>
      <w:bCs/>
      <w:color w:val="36614D" w:themeColor="accent3" w:themeShade="BF"/>
      <w:sz w:val="36"/>
      <w:szCs w:val="28"/>
    </w:rPr>
  </w:style>
  <w:style w:type="paragraph" w:styleId="Heading3">
    <w:name w:val="heading 3"/>
    <w:basedOn w:val="Normal"/>
    <w:next w:val="Normal"/>
    <w:link w:val="Heading3Char"/>
    <w:semiHidden/>
    <w:unhideWhenUsed/>
    <w:qFormat/>
    <w:rsid w:val="009E27C7"/>
    <w:pPr>
      <w:keepNext/>
      <w:numPr>
        <w:numId w:val="1"/>
      </w:numPr>
      <w:spacing w:before="240" w:after="60"/>
      <w:outlineLvl w:val="2"/>
    </w:pPr>
    <w:rPr>
      <w:rFonts w:eastAsiaTheme="majorEastAsia" w:cstheme="majorBidi"/>
      <w:b/>
      <w:bCs/>
      <w:color w:val="000000" w:themeColor="text1"/>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E5A"/>
    <w:rPr>
      <w:rFonts w:eastAsia="Times New Roman" w:cstheme="majorBidi"/>
      <w:b/>
      <w:bCs/>
      <w:color w:val="254264" w:themeColor="accent6"/>
      <w:spacing w:val="6"/>
      <w:sz w:val="56"/>
      <w:szCs w:val="56"/>
      <w:lang w:val="en"/>
    </w:rPr>
  </w:style>
  <w:style w:type="character" w:customStyle="1" w:styleId="Heading2Char">
    <w:name w:val="Heading 2 Char"/>
    <w:basedOn w:val="DefaultParagraphFont"/>
    <w:link w:val="Heading2"/>
    <w:uiPriority w:val="9"/>
    <w:rsid w:val="003C1F17"/>
    <w:rPr>
      <w:rFonts w:cstheme="majorBidi"/>
      <w:b/>
      <w:bCs/>
      <w:color w:val="36614D" w:themeColor="accent3" w:themeShade="BF"/>
      <w:sz w:val="36"/>
      <w:szCs w:val="28"/>
    </w:rPr>
  </w:style>
  <w:style w:type="paragraph" w:styleId="Title">
    <w:name w:val="Title"/>
    <w:basedOn w:val="Normal"/>
    <w:next w:val="Normal"/>
    <w:link w:val="TitleChar"/>
    <w:autoRedefine/>
    <w:uiPriority w:val="10"/>
    <w:qFormat/>
    <w:rsid w:val="00BA345A"/>
    <w:pPr>
      <w:spacing w:line="240" w:lineRule="auto"/>
      <w:contextualSpacing/>
    </w:pPr>
    <w:rPr>
      <w:rFonts w:asciiTheme="majorHAnsi" w:eastAsiaTheme="majorEastAsia" w:hAnsiTheme="majorHAnsi" w:cstheme="majorBidi"/>
      <w:color w:val="000000" w:themeColor="text1"/>
      <w:spacing w:val="-10"/>
      <w:kern w:val="28"/>
      <w:sz w:val="56"/>
      <w:szCs w:val="56"/>
    </w:rPr>
  </w:style>
  <w:style w:type="character" w:customStyle="1" w:styleId="TitleChar">
    <w:name w:val="Title Char"/>
    <w:basedOn w:val="DefaultParagraphFont"/>
    <w:link w:val="Title"/>
    <w:uiPriority w:val="10"/>
    <w:rsid w:val="00BA345A"/>
    <w:rPr>
      <w:rFonts w:asciiTheme="majorHAnsi" w:eastAsiaTheme="majorEastAsia" w:hAnsiTheme="majorHAnsi" w:cstheme="majorBidi"/>
      <w:color w:val="000000" w:themeColor="text1"/>
      <w:spacing w:val="-10"/>
      <w:kern w:val="28"/>
      <w:sz w:val="56"/>
      <w:szCs w:val="56"/>
    </w:rPr>
  </w:style>
  <w:style w:type="character" w:styleId="SubtleEmphasis">
    <w:name w:val="Subtle Emphasis"/>
    <w:basedOn w:val="DefaultParagraphFont"/>
    <w:uiPriority w:val="19"/>
    <w:qFormat/>
    <w:rsid w:val="00BA345A"/>
    <w:rPr>
      <w:rFonts w:asciiTheme="minorHAnsi" w:hAnsiTheme="minorHAnsi"/>
      <w:i/>
      <w:iCs/>
      <w:color w:val="C0AF8C" w:themeColor="text2"/>
      <w:sz w:val="24"/>
    </w:rPr>
  </w:style>
  <w:style w:type="character" w:customStyle="1" w:styleId="Heading3Char">
    <w:name w:val="Heading 3 Char"/>
    <w:basedOn w:val="DefaultParagraphFont"/>
    <w:link w:val="Heading3"/>
    <w:semiHidden/>
    <w:rsid w:val="009E27C7"/>
    <w:rPr>
      <w:rFonts w:eastAsiaTheme="majorEastAsia" w:cstheme="majorBidi"/>
      <w:b/>
      <w:bCs/>
      <w:color w:val="000000" w:themeColor="text1"/>
      <w:sz w:val="28"/>
      <w:szCs w:val="26"/>
    </w:rPr>
  </w:style>
  <w:style w:type="paragraph" w:styleId="Subtitle">
    <w:name w:val="Subtitle"/>
    <w:basedOn w:val="Normal"/>
    <w:next w:val="Normal"/>
    <w:link w:val="SubtitleChar"/>
    <w:uiPriority w:val="11"/>
    <w:qFormat/>
    <w:rsid w:val="00C35207"/>
    <w:pPr>
      <w:numPr>
        <w:ilvl w:val="1"/>
      </w:numPr>
      <w:spacing w:line="288" w:lineRule="auto"/>
    </w:pPr>
    <w:rPr>
      <w:rFonts w:eastAsia="Times New Roman"/>
      <w:b/>
      <w:color w:val="467BAB" w:themeColor="accent4"/>
      <w:spacing w:val="15"/>
      <w:sz w:val="48"/>
      <w:szCs w:val="48"/>
    </w:rPr>
  </w:style>
  <w:style w:type="character" w:customStyle="1" w:styleId="SubtitleChar">
    <w:name w:val="Subtitle Char"/>
    <w:basedOn w:val="DefaultParagraphFont"/>
    <w:link w:val="Subtitle"/>
    <w:uiPriority w:val="11"/>
    <w:rsid w:val="00C35207"/>
    <w:rPr>
      <w:rFonts w:eastAsia="Times New Roman"/>
      <w:b/>
      <w:color w:val="467BAB" w:themeColor="accent4"/>
      <w:spacing w:val="15"/>
      <w:sz w:val="48"/>
      <w:szCs w:val="48"/>
    </w:rPr>
  </w:style>
  <w:style w:type="paragraph" w:styleId="NoSpacing">
    <w:name w:val="No Spacing"/>
    <w:uiPriority w:val="1"/>
    <w:qFormat/>
    <w:rsid w:val="00B61D80"/>
    <w:pPr>
      <w:spacing w:after="0" w:line="240" w:lineRule="auto"/>
    </w:pPr>
    <w:rPr>
      <w:sz w:val="24"/>
    </w:rPr>
  </w:style>
  <w:style w:type="paragraph" w:styleId="ListParagraph">
    <w:name w:val="List Paragraph"/>
    <w:basedOn w:val="Normal"/>
    <w:uiPriority w:val="34"/>
    <w:qFormat/>
    <w:rsid w:val="005D540F"/>
    <w:pPr>
      <w:ind w:left="720"/>
      <w:contextualSpacing/>
    </w:pPr>
  </w:style>
  <w:style w:type="character" w:styleId="Hyperlink">
    <w:name w:val="Hyperlink"/>
    <w:basedOn w:val="DefaultParagraphFont"/>
    <w:uiPriority w:val="99"/>
    <w:unhideWhenUsed/>
    <w:rsid w:val="000B0D97"/>
    <w:rPr>
      <w:color w:val="000000" w:themeColor="hyperlink"/>
      <w:u w:val="single"/>
    </w:rPr>
  </w:style>
  <w:style w:type="character" w:styleId="UnresolvedMention">
    <w:name w:val="Unresolved Mention"/>
    <w:basedOn w:val="DefaultParagraphFont"/>
    <w:uiPriority w:val="99"/>
    <w:semiHidden/>
    <w:unhideWhenUsed/>
    <w:rsid w:val="000B0D97"/>
    <w:rPr>
      <w:color w:val="605E5C"/>
      <w:shd w:val="clear" w:color="auto" w:fill="E1DFDD"/>
    </w:rPr>
  </w:style>
  <w:style w:type="paragraph" w:styleId="NormalWeb">
    <w:name w:val="Normal (Web)"/>
    <w:basedOn w:val="Normal"/>
    <w:uiPriority w:val="99"/>
    <w:semiHidden/>
    <w:unhideWhenUsed/>
    <w:rsid w:val="006252E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06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7968">
      <w:bodyDiv w:val="1"/>
      <w:marLeft w:val="0"/>
      <w:marRight w:val="0"/>
      <w:marTop w:val="0"/>
      <w:marBottom w:val="0"/>
      <w:divBdr>
        <w:top w:val="none" w:sz="0" w:space="0" w:color="auto"/>
        <w:left w:val="none" w:sz="0" w:space="0" w:color="auto"/>
        <w:bottom w:val="none" w:sz="0" w:space="0" w:color="auto"/>
        <w:right w:val="none" w:sz="0" w:space="0" w:color="auto"/>
      </w:divBdr>
    </w:div>
    <w:div w:id="14692393">
      <w:bodyDiv w:val="1"/>
      <w:marLeft w:val="0"/>
      <w:marRight w:val="0"/>
      <w:marTop w:val="0"/>
      <w:marBottom w:val="0"/>
      <w:divBdr>
        <w:top w:val="none" w:sz="0" w:space="0" w:color="auto"/>
        <w:left w:val="none" w:sz="0" w:space="0" w:color="auto"/>
        <w:bottom w:val="none" w:sz="0" w:space="0" w:color="auto"/>
        <w:right w:val="none" w:sz="0" w:space="0" w:color="auto"/>
      </w:divBdr>
    </w:div>
    <w:div w:id="34503361">
      <w:bodyDiv w:val="1"/>
      <w:marLeft w:val="0"/>
      <w:marRight w:val="0"/>
      <w:marTop w:val="0"/>
      <w:marBottom w:val="0"/>
      <w:divBdr>
        <w:top w:val="none" w:sz="0" w:space="0" w:color="auto"/>
        <w:left w:val="none" w:sz="0" w:space="0" w:color="auto"/>
        <w:bottom w:val="none" w:sz="0" w:space="0" w:color="auto"/>
        <w:right w:val="none" w:sz="0" w:space="0" w:color="auto"/>
      </w:divBdr>
    </w:div>
    <w:div w:id="40254895">
      <w:bodyDiv w:val="1"/>
      <w:marLeft w:val="0"/>
      <w:marRight w:val="0"/>
      <w:marTop w:val="0"/>
      <w:marBottom w:val="0"/>
      <w:divBdr>
        <w:top w:val="none" w:sz="0" w:space="0" w:color="auto"/>
        <w:left w:val="none" w:sz="0" w:space="0" w:color="auto"/>
        <w:bottom w:val="none" w:sz="0" w:space="0" w:color="auto"/>
        <w:right w:val="none" w:sz="0" w:space="0" w:color="auto"/>
      </w:divBdr>
    </w:div>
    <w:div w:id="41831061">
      <w:bodyDiv w:val="1"/>
      <w:marLeft w:val="0"/>
      <w:marRight w:val="0"/>
      <w:marTop w:val="0"/>
      <w:marBottom w:val="0"/>
      <w:divBdr>
        <w:top w:val="none" w:sz="0" w:space="0" w:color="auto"/>
        <w:left w:val="none" w:sz="0" w:space="0" w:color="auto"/>
        <w:bottom w:val="none" w:sz="0" w:space="0" w:color="auto"/>
        <w:right w:val="none" w:sz="0" w:space="0" w:color="auto"/>
      </w:divBdr>
    </w:div>
    <w:div w:id="58359457">
      <w:bodyDiv w:val="1"/>
      <w:marLeft w:val="0"/>
      <w:marRight w:val="0"/>
      <w:marTop w:val="0"/>
      <w:marBottom w:val="0"/>
      <w:divBdr>
        <w:top w:val="none" w:sz="0" w:space="0" w:color="auto"/>
        <w:left w:val="none" w:sz="0" w:space="0" w:color="auto"/>
        <w:bottom w:val="none" w:sz="0" w:space="0" w:color="auto"/>
        <w:right w:val="none" w:sz="0" w:space="0" w:color="auto"/>
      </w:divBdr>
    </w:div>
    <w:div w:id="65148080">
      <w:bodyDiv w:val="1"/>
      <w:marLeft w:val="0"/>
      <w:marRight w:val="0"/>
      <w:marTop w:val="0"/>
      <w:marBottom w:val="0"/>
      <w:divBdr>
        <w:top w:val="none" w:sz="0" w:space="0" w:color="auto"/>
        <w:left w:val="none" w:sz="0" w:space="0" w:color="auto"/>
        <w:bottom w:val="none" w:sz="0" w:space="0" w:color="auto"/>
        <w:right w:val="none" w:sz="0" w:space="0" w:color="auto"/>
      </w:divBdr>
    </w:div>
    <w:div w:id="72894326">
      <w:bodyDiv w:val="1"/>
      <w:marLeft w:val="0"/>
      <w:marRight w:val="0"/>
      <w:marTop w:val="0"/>
      <w:marBottom w:val="0"/>
      <w:divBdr>
        <w:top w:val="none" w:sz="0" w:space="0" w:color="auto"/>
        <w:left w:val="none" w:sz="0" w:space="0" w:color="auto"/>
        <w:bottom w:val="none" w:sz="0" w:space="0" w:color="auto"/>
        <w:right w:val="none" w:sz="0" w:space="0" w:color="auto"/>
      </w:divBdr>
    </w:div>
    <w:div w:id="102577780">
      <w:bodyDiv w:val="1"/>
      <w:marLeft w:val="0"/>
      <w:marRight w:val="0"/>
      <w:marTop w:val="0"/>
      <w:marBottom w:val="0"/>
      <w:divBdr>
        <w:top w:val="none" w:sz="0" w:space="0" w:color="auto"/>
        <w:left w:val="none" w:sz="0" w:space="0" w:color="auto"/>
        <w:bottom w:val="none" w:sz="0" w:space="0" w:color="auto"/>
        <w:right w:val="none" w:sz="0" w:space="0" w:color="auto"/>
      </w:divBdr>
    </w:div>
    <w:div w:id="125584184">
      <w:bodyDiv w:val="1"/>
      <w:marLeft w:val="0"/>
      <w:marRight w:val="0"/>
      <w:marTop w:val="0"/>
      <w:marBottom w:val="0"/>
      <w:divBdr>
        <w:top w:val="none" w:sz="0" w:space="0" w:color="auto"/>
        <w:left w:val="none" w:sz="0" w:space="0" w:color="auto"/>
        <w:bottom w:val="none" w:sz="0" w:space="0" w:color="auto"/>
        <w:right w:val="none" w:sz="0" w:space="0" w:color="auto"/>
      </w:divBdr>
      <w:divsChild>
        <w:div w:id="881550640">
          <w:marLeft w:val="720"/>
          <w:marRight w:val="0"/>
          <w:marTop w:val="240"/>
          <w:marBottom w:val="0"/>
          <w:divBdr>
            <w:top w:val="none" w:sz="0" w:space="0" w:color="auto"/>
            <w:left w:val="none" w:sz="0" w:space="0" w:color="auto"/>
            <w:bottom w:val="none" w:sz="0" w:space="0" w:color="auto"/>
            <w:right w:val="none" w:sz="0" w:space="0" w:color="auto"/>
          </w:divBdr>
        </w:div>
        <w:div w:id="1377582138">
          <w:marLeft w:val="720"/>
          <w:marRight w:val="0"/>
          <w:marTop w:val="240"/>
          <w:marBottom w:val="0"/>
          <w:divBdr>
            <w:top w:val="none" w:sz="0" w:space="0" w:color="auto"/>
            <w:left w:val="none" w:sz="0" w:space="0" w:color="auto"/>
            <w:bottom w:val="none" w:sz="0" w:space="0" w:color="auto"/>
            <w:right w:val="none" w:sz="0" w:space="0" w:color="auto"/>
          </w:divBdr>
        </w:div>
        <w:div w:id="1026062086">
          <w:marLeft w:val="720"/>
          <w:marRight w:val="0"/>
          <w:marTop w:val="240"/>
          <w:marBottom w:val="0"/>
          <w:divBdr>
            <w:top w:val="none" w:sz="0" w:space="0" w:color="auto"/>
            <w:left w:val="none" w:sz="0" w:space="0" w:color="auto"/>
            <w:bottom w:val="none" w:sz="0" w:space="0" w:color="auto"/>
            <w:right w:val="none" w:sz="0" w:space="0" w:color="auto"/>
          </w:divBdr>
        </w:div>
        <w:div w:id="399600929">
          <w:marLeft w:val="720"/>
          <w:marRight w:val="0"/>
          <w:marTop w:val="240"/>
          <w:marBottom w:val="0"/>
          <w:divBdr>
            <w:top w:val="none" w:sz="0" w:space="0" w:color="auto"/>
            <w:left w:val="none" w:sz="0" w:space="0" w:color="auto"/>
            <w:bottom w:val="none" w:sz="0" w:space="0" w:color="auto"/>
            <w:right w:val="none" w:sz="0" w:space="0" w:color="auto"/>
          </w:divBdr>
        </w:div>
        <w:div w:id="2095397398">
          <w:marLeft w:val="720"/>
          <w:marRight w:val="0"/>
          <w:marTop w:val="240"/>
          <w:marBottom w:val="0"/>
          <w:divBdr>
            <w:top w:val="none" w:sz="0" w:space="0" w:color="auto"/>
            <w:left w:val="none" w:sz="0" w:space="0" w:color="auto"/>
            <w:bottom w:val="none" w:sz="0" w:space="0" w:color="auto"/>
            <w:right w:val="none" w:sz="0" w:space="0" w:color="auto"/>
          </w:divBdr>
        </w:div>
      </w:divsChild>
    </w:div>
    <w:div w:id="129979166">
      <w:bodyDiv w:val="1"/>
      <w:marLeft w:val="0"/>
      <w:marRight w:val="0"/>
      <w:marTop w:val="0"/>
      <w:marBottom w:val="0"/>
      <w:divBdr>
        <w:top w:val="none" w:sz="0" w:space="0" w:color="auto"/>
        <w:left w:val="none" w:sz="0" w:space="0" w:color="auto"/>
        <w:bottom w:val="none" w:sz="0" w:space="0" w:color="auto"/>
        <w:right w:val="none" w:sz="0" w:space="0" w:color="auto"/>
      </w:divBdr>
    </w:div>
    <w:div w:id="145099001">
      <w:bodyDiv w:val="1"/>
      <w:marLeft w:val="0"/>
      <w:marRight w:val="0"/>
      <w:marTop w:val="0"/>
      <w:marBottom w:val="0"/>
      <w:divBdr>
        <w:top w:val="none" w:sz="0" w:space="0" w:color="auto"/>
        <w:left w:val="none" w:sz="0" w:space="0" w:color="auto"/>
        <w:bottom w:val="none" w:sz="0" w:space="0" w:color="auto"/>
        <w:right w:val="none" w:sz="0" w:space="0" w:color="auto"/>
      </w:divBdr>
    </w:div>
    <w:div w:id="154997079">
      <w:bodyDiv w:val="1"/>
      <w:marLeft w:val="0"/>
      <w:marRight w:val="0"/>
      <w:marTop w:val="0"/>
      <w:marBottom w:val="0"/>
      <w:divBdr>
        <w:top w:val="none" w:sz="0" w:space="0" w:color="auto"/>
        <w:left w:val="none" w:sz="0" w:space="0" w:color="auto"/>
        <w:bottom w:val="none" w:sz="0" w:space="0" w:color="auto"/>
        <w:right w:val="none" w:sz="0" w:space="0" w:color="auto"/>
      </w:divBdr>
    </w:div>
    <w:div w:id="158425058">
      <w:bodyDiv w:val="1"/>
      <w:marLeft w:val="0"/>
      <w:marRight w:val="0"/>
      <w:marTop w:val="0"/>
      <w:marBottom w:val="0"/>
      <w:divBdr>
        <w:top w:val="none" w:sz="0" w:space="0" w:color="auto"/>
        <w:left w:val="none" w:sz="0" w:space="0" w:color="auto"/>
        <w:bottom w:val="none" w:sz="0" w:space="0" w:color="auto"/>
        <w:right w:val="none" w:sz="0" w:space="0" w:color="auto"/>
      </w:divBdr>
    </w:div>
    <w:div w:id="167404906">
      <w:bodyDiv w:val="1"/>
      <w:marLeft w:val="0"/>
      <w:marRight w:val="0"/>
      <w:marTop w:val="0"/>
      <w:marBottom w:val="0"/>
      <w:divBdr>
        <w:top w:val="none" w:sz="0" w:space="0" w:color="auto"/>
        <w:left w:val="none" w:sz="0" w:space="0" w:color="auto"/>
        <w:bottom w:val="none" w:sz="0" w:space="0" w:color="auto"/>
        <w:right w:val="none" w:sz="0" w:space="0" w:color="auto"/>
      </w:divBdr>
      <w:divsChild>
        <w:div w:id="1684280852">
          <w:marLeft w:val="360"/>
          <w:marRight w:val="0"/>
          <w:marTop w:val="400"/>
          <w:marBottom w:val="0"/>
          <w:divBdr>
            <w:top w:val="none" w:sz="0" w:space="0" w:color="auto"/>
            <w:left w:val="none" w:sz="0" w:space="0" w:color="auto"/>
            <w:bottom w:val="none" w:sz="0" w:space="0" w:color="auto"/>
            <w:right w:val="none" w:sz="0" w:space="0" w:color="auto"/>
          </w:divBdr>
        </w:div>
        <w:div w:id="391390077">
          <w:marLeft w:val="360"/>
          <w:marRight w:val="0"/>
          <w:marTop w:val="120"/>
          <w:marBottom w:val="0"/>
          <w:divBdr>
            <w:top w:val="none" w:sz="0" w:space="0" w:color="auto"/>
            <w:left w:val="none" w:sz="0" w:space="0" w:color="auto"/>
            <w:bottom w:val="none" w:sz="0" w:space="0" w:color="auto"/>
            <w:right w:val="none" w:sz="0" w:space="0" w:color="auto"/>
          </w:divBdr>
        </w:div>
      </w:divsChild>
    </w:div>
    <w:div w:id="179857093">
      <w:bodyDiv w:val="1"/>
      <w:marLeft w:val="0"/>
      <w:marRight w:val="0"/>
      <w:marTop w:val="0"/>
      <w:marBottom w:val="0"/>
      <w:divBdr>
        <w:top w:val="none" w:sz="0" w:space="0" w:color="auto"/>
        <w:left w:val="none" w:sz="0" w:space="0" w:color="auto"/>
        <w:bottom w:val="none" w:sz="0" w:space="0" w:color="auto"/>
        <w:right w:val="none" w:sz="0" w:space="0" w:color="auto"/>
      </w:divBdr>
    </w:div>
    <w:div w:id="184635366">
      <w:bodyDiv w:val="1"/>
      <w:marLeft w:val="0"/>
      <w:marRight w:val="0"/>
      <w:marTop w:val="0"/>
      <w:marBottom w:val="0"/>
      <w:divBdr>
        <w:top w:val="none" w:sz="0" w:space="0" w:color="auto"/>
        <w:left w:val="none" w:sz="0" w:space="0" w:color="auto"/>
        <w:bottom w:val="none" w:sz="0" w:space="0" w:color="auto"/>
        <w:right w:val="none" w:sz="0" w:space="0" w:color="auto"/>
      </w:divBdr>
    </w:div>
    <w:div w:id="189415514">
      <w:bodyDiv w:val="1"/>
      <w:marLeft w:val="0"/>
      <w:marRight w:val="0"/>
      <w:marTop w:val="0"/>
      <w:marBottom w:val="0"/>
      <w:divBdr>
        <w:top w:val="none" w:sz="0" w:space="0" w:color="auto"/>
        <w:left w:val="none" w:sz="0" w:space="0" w:color="auto"/>
        <w:bottom w:val="none" w:sz="0" w:space="0" w:color="auto"/>
        <w:right w:val="none" w:sz="0" w:space="0" w:color="auto"/>
      </w:divBdr>
    </w:div>
    <w:div w:id="214513864">
      <w:bodyDiv w:val="1"/>
      <w:marLeft w:val="0"/>
      <w:marRight w:val="0"/>
      <w:marTop w:val="0"/>
      <w:marBottom w:val="0"/>
      <w:divBdr>
        <w:top w:val="none" w:sz="0" w:space="0" w:color="auto"/>
        <w:left w:val="none" w:sz="0" w:space="0" w:color="auto"/>
        <w:bottom w:val="none" w:sz="0" w:space="0" w:color="auto"/>
        <w:right w:val="none" w:sz="0" w:space="0" w:color="auto"/>
      </w:divBdr>
    </w:div>
    <w:div w:id="221601416">
      <w:bodyDiv w:val="1"/>
      <w:marLeft w:val="0"/>
      <w:marRight w:val="0"/>
      <w:marTop w:val="0"/>
      <w:marBottom w:val="0"/>
      <w:divBdr>
        <w:top w:val="none" w:sz="0" w:space="0" w:color="auto"/>
        <w:left w:val="none" w:sz="0" w:space="0" w:color="auto"/>
        <w:bottom w:val="none" w:sz="0" w:space="0" w:color="auto"/>
        <w:right w:val="none" w:sz="0" w:space="0" w:color="auto"/>
      </w:divBdr>
    </w:div>
    <w:div w:id="254293170">
      <w:bodyDiv w:val="1"/>
      <w:marLeft w:val="0"/>
      <w:marRight w:val="0"/>
      <w:marTop w:val="0"/>
      <w:marBottom w:val="0"/>
      <w:divBdr>
        <w:top w:val="none" w:sz="0" w:space="0" w:color="auto"/>
        <w:left w:val="none" w:sz="0" w:space="0" w:color="auto"/>
        <w:bottom w:val="none" w:sz="0" w:space="0" w:color="auto"/>
        <w:right w:val="none" w:sz="0" w:space="0" w:color="auto"/>
      </w:divBdr>
    </w:div>
    <w:div w:id="291330467">
      <w:bodyDiv w:val="1"/>
      <w:marLeft w:val="0"/>
      <w:marRight w:val="0"/>
      <w:marTop w:val="0"/>
      <w:marBottom w:val="0"/>
      <w:divBdr>
        <w:top w:val="none" w:sz="0" w:space="0" w:color="auto"/>
        <w:left w:val="none" w:sz="0" w:space="0" w:color="auto"/>
        <w:bottom w:val="none" w:sz="0" w:space="0" w:color="auto"/>
        <w:right w:val="none" w:sz="0" w:space="0" w:color="auto"/>
      </w:divBdr>
    </w:div>
    <w:div w:id="295916706">
      <w:bodyDiv w:val="1"/>
      <w:marLeft w:val="0"/>
      <w:marRight w:val="0"/>
      <w:marTop w:val="0"/>
      <w:marBottom w:val="0"/>
      <w:divBdr>
        <w:top w:val="none" w:sz="0" w:space="0" w:color="auto"/>
        <w:left w:val="none" w:sz="0" w:space="0" w:color="auto"/>
        <w:bottom w:val="none" w:sz="0" w:space="0" w:color="auto"/>
        <w:right w:val="none" w:sz="0" w:space="0" w:color="auto"/>
      </w:divBdr>
      <w:divsChild>
        <w:div w:id="2139571008">
          <w:marLeft w:val="274"/>
          <w:marRight w:val="0"/>
          <w:marTop w:val="0"/>
          <w:marBottom w:val="0"/>
          <w:divBdr>
            <w:top w:val="none" w:sz="0" w:space="0" w:color="auto"/>
            <w:left w:val="none" w:sz="0" w:space="0" w:color="auto"/>
            <w:bottom w:val="none" w:sz="0" w:space="0" w:color="auto"/>
            <w:right w:val="none" w:sz="0" w:space="0" w:color="auto"/>
          </w:divBdr>
        </w:div>
      </w:divsChild>
    </w:div>
    <w:div w:id="301883439">
      <w:bodyDiv w:val="1"/>
      <w:marLeft w:val="0"/>
      <w:marRight w:val="0"/>
      <w:marTop w:val="0"/>
      <w:marBottom w:val="0"/>
      <w:divBdr>
        <w:top w:val="none" w:sz="0" w:space="0" w:color="auto"/>
        <w:left w:val="none" w:sz="0" w:space="0" w:color="auto"/>
        <w:bottom w:val="none" w:sz="0" w:space="0" w:color="auto"/>
        <w:right w:val="none" w:sz="0" w:space="0" w:color="auto"/>
      </w:divBdr>
    </w:div>
    <w:div w:id="303389111">
      <w:bodyDiv w:val="1"/>
      <w:marLeft w:val="0"/>
      <w:marRight w:val="0"/>
      <w:marTop w:val="0"/>
      <w:marBottom w:val="0"/>
      <w:divBdr>
        <w:top w:val="none" w:sz="0" w:space="0" w:color="auto"/>
        <w:left w:val="none" w:sz="0" w:space="0" w:color="auto"/>
        <w:bottom w:val="none" w:sz="0" w:space="0" w:color="auto"/>
        <w:right w:val="none" w:sz="0" w:space="0" w:color="auto"/>
      </w:divBdr>
    </w:div>
    <w:div w:id="322046091">
      <w:bodyDiv w:val="1"/>
      <w:marLeft w:val="0"/>
      <w:marRight w:val="0"/>
      <w:marTop w:val="0"/>
      <w:marBottom w:val="0"/>
      <w:divBdr>
        <w:top w:val="none" w:sz="0" w:space="0" w:color="auto"/>
        <w:left w:val="none" w:sz="0" w:space="0" w:color="auto"/>
        <w:bottom w:val="none" w:sz="0" w:space="0" w:color="auto"/>
        <w:right w:val="none" w:sz="0" w:space="0" w:color="auto"/>
      </w:divBdr>
      <w:divsChild>
        <w:div w:id="1842039680">
          <w:marLeft w:val="274"/>
          <w:marRight w:val="0"/>
          <w:marTop w:val="0"/>
          <w:marBottom w:val="0"/>
          <w:divBdr>
            <w:top w:val="none" w:sz="0" w:space="0" w:color="auto"/>
            <w:left w:val="none" w:sz="0" w:space="0" w:color="auto"/>
            <w:bottom w:val="none" w:sz="0" w:space="0" w:color="auto"/>
            <w:right w:val="none" w:sz="0" w:space="0" w:color="auto"/>
          </w:divBdr>
        </w:div>
        <w:div w:id="393283721">
          <w:marLeft w:val="274"/>
          <w:marRight w:val="0"/>
          <w:marTop w:val="0"/>
          <w:marBottom w:val="0"/>
          <w:divBdr>
            <w:top w:val="none" w:sz="0" w:space="0" w:color="auto"/>
            <w:left w:val="none" w:sz="0" w:space="0" w:color="auto"/>
            <w:bottom w:val="none" w:sz="0" w:space="0" w:color="auto"/>
            <w:right w:val="none" w:sz="0" w:space="0" w:color="auto"/>
          </w:divBdr>
        </w:div>
        <w:div w:id="1615401182">
          <w:marLeft w:val="274"/>
          <w:marRight w:val="0"/>
          <w:marTop w:val="0"/>
          <w:marBottom w:val="0"/>
          <w:divBdr>
            <w:top w:val="none" w:sz="0" w:space="0" w:color="auto"/>
            <w:left w:val="none" w:sz="0" w:space="0" w:color="auto"/>
            <w:bottom w:val="none" w:sz="0" w:space="0" w:color="auto"/>
            <w:right w:val="none" w:sz="0" w:space="0" w:color="auto"/>
          </w:divBdr>
        </w:div>
      </w:divsChild>
    </w:div>
    <w:div w:id="339091756">
      <w:bodyDiv w:val="1"/>
      <w:marLeft w:val="0"/>
      <w:marRight w:val="0"/>
      <w:marTop w:val="0"/>
      <w:marBottom w:val="0"/>
      <w:divBdr>
        <w:top w:val="none" w:sz="0" w:space="0" w:color="auto"/>
        <w:left w:val="none" w:sz="0" w:space="0" w:color="auto"/>
        <w:bottom w:val="none" w:sz="0" w:space="0" w:color="auto"/>
        <w:right w:val="none" w:sz="0" w:space="0" w:color="auto"/>
      </w:divBdr>
    </w:div>
    <w:div w:id="341931838">
      <w:bodyDiv w:val="1"/>
      <w:marLeft w:val="0"/>
      <w:marRight w:val="0"/>
      <w:marTop w:val="0"/>
      <w:marBottom w:val="0"/>
      <w:divBdr>
        <w:top w:val="none" w:sz="0" w:space="0" w:color="auto"/>
        <w:left w:val="none" w:sz="0" w:space="0" w:color="auto"/>
        <w:bottom w:val="none" w:sz="0" w:space="0" w:color="auto"/>
        <w:right w:val="none" w:sz="0" w:space="0" w:color="auto"/>
      </w:divBdr>
    </w:div>
    <w:div w:id="345791203">
      <w:bodyDiv w:val="1"/>
      <w:marLeft w:val="0"/>
      <w:marRight w:val="0"/>
      <w:marTop w:val="0"/>
      <w:marBottom w:val="0"/>
      <w:divBdr>
        <w:top w:val="none" w:sz="0" w:space="0" w:color="auto"/>
        <w:left w:val="none" w:sz="0" w:space="0" w:color="auto"/>
        <w:bottom w:val="none" w:sz="0" w:space="0" w:color="auto"/>
        <w:right w:val="none" w:sz="0" w:space="0" w:color="auto"/>
      </w:divBdr>
    </w:div>
    <w:div w:id="346441989">
      <w:bodyDiv w:val="1"/>
      <w:marLeft w:val="0"/>
      <w:marRight w:val="0"/>
      <w:marTop w:val="0"/>
      <w:marBottom w:val="0"/>
      <w:divBdr>
        <w:top w:val="none" w:sz="0" w:space="0" w:color="auto"/>
        <w:left w:val="none" w:sz="0" w:space="0" w:color="auto"/>
        <w:bottom w:val="none" w:sz="0" w:space="0" w:color="auto"/>
        <w:right w:val="none" w:sz="0" w:space="0" w:color="auto"/>
      </w:divBdr>
    </w:div>
    <w:div w:id="348213797">
      <w:bodyDiv w:val="1"/>
      <w:marLeft w:val="0"/>
      <w:marRight w:val="0"/>
      <w:marTop w:val="0"/>
      <w:marBottom w:val="0"/>
      <w:divBdr>
        <w:top w:val="none" w:sz="0" w:space="0" w:color="auto"/>
        <w:left w:val="none" w:sz="0" w:space="0" w:color="auto"/>
        <w:bottom w:val="none" w:sz="0" w:space="0" w:color="auto"/>
        <w:right w:val="none" w:sz="0" w:space="0" w:color="auto"/>
      </w:divBdr>
    </w:div>
    <w:div w:id="353578158">
      <w:bodyDiv w:val="1"/>
      <w:marLeft w:val="0"/>
      <w:marRight w:val="0"/>
      <w:marTop w:val="0"/>
      <w:marBottom w:val="0"/>
      <w:divBdr>
        <w:top w:val="none" w:sz="0" w:space="0" w:color="auto"/>
        <w:left w:val="none" w:sz="0" w:space="0" w:color="auto"/>
        <w:bottom w:val="none" w:sz="0" w:space="0" w:color="auto"/>
        <w:right w:val="none" w:sz="0" w:space="0" w:color="auto"/>
      </w:divBdr>
    </w:div>
    <w:div w:id="390621925">
      <w:bodyDiv w:val="1"/>
      <w:marLeft w:val="0"/>
      <w:marRight w:val="0"/>
      <w:marTop w:val="0"/>
      <w:marBottom w:val="0"/>
      <w:divBdr>
        <w:top w:val="none" w:sz="0" w:space="0" w:color="auto"/>
        <w:left w:val="none" w:sz="0" w:space="0" w:color="auto"/>
        <w:bottom w:val="none" w:sz="0" w:space="0" w:color="auto"/>
        <w:right w:val="none" w:sz="0" w:space="0" w:color="auto"/>
      </w:divBdr>
      <w:divsChild>
        <w:div w:id="1721633688">
          <w:marLeft w:val="360"/>
          <w:marRight w:val="0"/>
          <w:marTop w:val="168"/>
          <w:marBottom w:val="0"/>
          <w:divBdr>
            <w:top w:val="none" w:sz="0" w:space="0" w:color="auto"/>
            <w:left w:val="none" w:sz="0" w:space="0" w:color="auto"/>
            <w:bottom w:val="none" w:sz="0" w:space="0" w:color="auto"/>
            <w:right w:val="none" w:sz="0" w:space="0" w:color="auto"/>
          </w:divBdr>
        </w:div>
        <w:div w:id="350842028">
          <w:marLeft w:val="360"/>
          <w:marRight w:val="0"/>
          <w:marTop w:val="168"/>
          <w:marBottom w:val="0"/>
          <w:divBdr>
            <w:top w:val="none" w:sz="0" w:space="0" w:color="auto"/>
            <w:left w:val="none" w:sz="0" w:space="0" w:color="auto"/>
            <w:bottom w:val="none" w:sz="0" w:space="0" w:color="auto"/>
            <w:right w:val="none" w:sz="0" w:space="0" w:color="auto"/>
          </w:divBdr>
        </w:div>
        <w:div w:id="281033739">
          <w:marLeft w:val="360"/>
          <w:marRight w:val="0"/>
          <w:marTop w:val="60"/>
          <w:marBottom w:val="0"/>
          <w:divBdr>
            <w:top w:val="none" w:sz="0" w:space="0" w:color="auto"/>
            <w:left w:val="none" w:sz="0" w:space="0" w:color="auto"/>
            <w:bottom w:val="none" w:sz="0" w:space="0" w:color="auto"/>
            <w:right w:val="none" w:sz="0" w:space="0" w:color="auto"/>
          </w:divBdr>
        </w:div>
      </w:divsChild>
    </w:div>
    <w:div w:id="411127377">
      <w:bodyDiv w:val="1"/>
      <w:marLeft w:val="0"/>
      <w:marRight w:val="0"/>
      <w:marTop w:val="0"/>
      <w:marBottom w:val="0"/>
      <w:divBdr>
        <w:top w:val="none" w:sz="0" w:space="0" w:color="auto"/>
        <w:left w:val="none" w:sz="0" w:space="0" w:color="auto"/>
        <w:bottom w:val="none" w:sz="0" w:space="0" w:color="auto"/>
        <w:right w:val="none" w:sz="0" w:space="0" w:color="auto"/>
      </w:divBdr>
    </w:div>
    <w:div w:id="422654554">
      <w:bodyDiv w:val="1"/>
      <w:marLeft w:val="0"/>
      <w:marRight w:val="0"/>
      <w:marTop w:val="0"/>
      <w:marBottom w:val="0"/>
      <w:divBdr>
        <w:top w:val="none" w:sz="0" w:space="0" w:color="auto"/>
        <w:left w:val="none" w:sz="0" w:space="0" w:color="auto"/>
        <w:bottom w:val="none" w:sz="0" w:space="0" w:color="auto"/>
        <w:right w:val="none" w:sz="0" w:space="0" w:color="auto"/>
      </w:divBdr>
    </w:div>
    <w:div w:id="425347982">
      <w:bodyDiv w:val="1"/>
      <w:marLeft w:val="0"/>
      <w:marRight w:val="0"/>
      <w:marTop w:val="0"/>
      <w:marBottom w:val="0"/>
      <w:divBdr>
        <w:top w:val="none" w:sz="0" w:space="0" w:color="auto"/>
        <w:left w:val="none" w:sz="0" w:space="0" w:color="auto"/>
        <w:bottom w:val="none" w:sz="0" w:space="0" w:color="auto"/>
        <w:right w:val="none" w:sz="0" w:space="0" w:color="auto"/>
      </w:divBdr>
    </w:div>
    <w:div w:id="435902216">
      <w:bodyDiv w:val="1"/>
      <w:marLeft w:val="0"/>
      <w:marRight w:val="0"/>
      <w:marTop w:val="0"/>
      <w:marBottom w:val="0"/>
      <w:divBdr>
        <w:top w:val="none" w:sz="0" w:space="0" w:color="auto"/>
        <w:left w:val="none" w:sz="0" w:space="0" w:color="auto"/>
        <w:bottom w:val="none" w:sz="0" w:space="0" w:color="auto"/>
        <w:right w:val="none" w:sz="0" w:space="0" w:color="auto"/>
      </w:divBdr>
      <w:divsChild>
        <w:div w:id="6835485">
          <w:marLeft w:val="360"/>
          <w:marRight w:val="0"/>
          <w:marTop w:val="168"/>
          <w:marBottom w:val="0"/>
          <w:divBdr>
            <w:top w:val="none" w:sz="0" w:space="0" w:color="auto"/>
            <w:left w:val="none" w:sz="0" w:space="0" w:color="auto"/>
            <w:bottom w:val="none" w:sz="0" w:space="0" w:color="auto"/>
            <w:right w:val="none" w:sz="0" w:space="0" w:color="auto"/>
          </w:divBdr>
        </w:div>
        <w:div w:id="501698102">
          <w:marLeft w:val="360"/>
          <w:marRight w:val="0"/>
          <w:marTop w:val="60"/>
          <w:marBottom w:val="0"/>
          <w:divBdr>
            <w:top w:val="none" w:sz="0" w:space="0" w:color="auto"/>
            <w:left w:val="none" w:sz="0" w:space="0" w:color="auto"/>
            <w:bottom w:val="none" w:sz="0" w:space="0" w:color="auto"/>
            <w:right w:val="none" w:sz="0" w:space="0" w:color="auto"/>
          </w:divBdr>
        </w:div>
        <w:div w:id="542597734">
          <w:marLeft w:val="360"/>
          <w:marRight w:val="0"/>
          <w:marTop w:val="60"/>
          <w:marBottom w:val="0"/>
          <w:divBdr>
            <w:top w:val="none" w:sz="0" w:space="0" w:color="auto"/>
            <w:left w:val="none" w:sz="0" w:space="0" w:color="auto"/>
            <w:bottom w:val="none" w:sz="0" w:space="0" w:color="auto"/>
            <w:right w:val="none" w:sz="0" w:space="0" w:color="auto"/>
          </w:divBdr>
        </w:div>
      </w:divsChild>
    </w:div>
    <w:div w:id="436146621">
      <w:bodyDiv w:val="1"/>
      <w:marLeft w:val="0"/>
      <w:marRight w:val="0"/>
      <w:marTop w:val="0"/>
      <w:marBottom w:val="0"/>
      <w:divBdr>
        <w:top w:val="none" w:sz="0" w:space="0" w:color="auto"/>
        <w:left w:val="none" w:sz="0" w:space="0" w:color="auto"/>
        <w:bottom w:val="none" w:sz="0" w:space="0" w:color="auto"/>
        <w:right w:val="none" w:sz="0" w:space="0" w:color="auto"/>
      </w:divBdr>
    </w:div>
    <w:div w:id="443576006">
      <w:bodyDiv w:val="1"/>
      <w:marLeft w:val="0"/>
      <w:marRight w:val="0"/>
      <w:marTop w:val="0"/>
      <w:marBottom w:val="0"/>
      <w:divBdr>
        <w:top w:val="none" w:sz="0" w:space="0" w:color="auto"/>
        <w:left w:val="none" w:sz="0" w:space="0" w:color="auto"/>
        <w:bottom w:val="none" w:sz="0" w:space="0" w:color="auto"/>
        <w:right w:val="none" w:sz="0" w:space="0" w:color="auto"/>
      </w:divBdr>
    </w:div>
    <w:div w:id="462699882">
      <w:bodyDiv w:val="1"/>
      <w:marLeft w:val="0"/>
      <w:marRight w:val="0"/>
      <w:marTop w:val="0"/>
      <w:marBottom w:val="0"/>
      <w:divBdr>
        <w:top w:val="none" w:sz="0" w:space="0" w:color="auto"/>
        <w:left w:val="none" w:sz="0" w:space="0" w:color="auto"/>
        <w:bottom w:val="none" w:sz="0" w:space="0" w:color="auto"/>
        <w:right w:val="none" w:sz="0" w:space="0" w:color="auto"/>
      </w:divBdr>
    </w:div>
    <w:div w:id="468940319">
      <w:bodyDiv w:val="1"/>
      <w:marLeft w:val="0"/>
      <w:marRight w:val="0"/>
      <w:marTop w:val="0"/>
      <w:marBottom w:val="0"/>
      <w:divBdr>
        <w:top w:val="none" w:sz="0" w:space="0" w:color="auto"/>
        <w:left w:val="none" w:sz="0" w:space="0" w:color="auto"/>
        <w:bottom w:val="none" w:sz="0" w:space="0" w:color="auto"/>
        <w:right w:val="none" w:sz="0" w:space="0" w:color="auto"/>
      </w:divBdr>
    </w:div>
    <w:div w:id="495540142">
      <w:bodyDiv w:val="1"/>
      <w:marLeft w:val="0"/>
      <w:marRight w:val="0"/>
      <w:marTop w:val="0"/>
      <w:marBottom w:val="0"/>
      <w:divBdr>
        <w:top w:val="none" w:sz="0" w:space="0" w:color="auto"/>
        <w:left w:val="none" w:sz="0" w:space="0" w:color="auto"/>
        <w:bottom w:val="none" w:sz="0" w:space="0" w:color="auto"/>
        <w:right w:val="none" w:sz="0" w:space="0" w:color="auto"/>
      </w:divBdr>
    </w:div>
    <w:div w:id="503980444">
      <w:bodyDiv w:val="1"/>
      <w:marLeft w:val="0"/>
      <w:marRight w:val="0"/>
      <w:marTop w:val="0"/>
      <w:marBottom w:val="0"/>
      <w:divBdr>
        <w:top w:val="none" w:sz="0" w:space="0" w:color="auto"/>
        <w:left w:val="none" w:sz="0" w:space="0" w:color="auto"/>
        <w:bottom w:val="none" w:sz="0" w:space="0" w:color="auto"/>
        <w:right w:val="none" w:sz="0" w:space="0" w:color="auto"/>
      </w:divBdr>
      <w:divsChild>
        <w:div w:id="1825511221">
          <w:marLeft w:val="360"/>
          <w:marRight w:val="0"/>
          <w:marTop w:val="168"/>
          <w:marBottom w:val="0"/>
          <w:divBdr>
            <w:top w:val="none" w:sz="0" w:space="0" w:color="auto"/>
            <w:left w:val="none" w:sz="0" w:space="0" w:color="auto"/>
            <w:bottom w:val="none" w:sz="0" w:space="0" w:color="auto"/>
            <w:right w:val="none" w:sz="0" w:space="0" w:color="auto"/>
          </w:divBdr>
        </w:div>
        <w:div w:id="1021861573">
          <w:marLeft w:val="360"/>
          <w:marRight w:val="0"/>
          <w:marTop w:val="60"/>
          <w:marBottom w:val="0"/>
          <w:divBdr>
            <w:top w:val="none" w:sz="0" w:space="0" w:color="auto"/>
            <w:left w:val="none" w:sz="0" w:space="0" w:color="auto"/>
            <w:bottom w:val="none" w:sz="0" w:space="0" w:color="auto"/>
            <w:right w:val="none" w:sz="0" w:space="0" w:color="auto"/>
          </w:divBdr>
        </w:div>
        <w:div w:id="633675116">
          <w:marLeft w:val="360"/>
          <w:marRight w:val="0"/>
          <w:marTop w:val="60"/>
          <w:marBottom w:val="0"/>
          <w:divBdr>
            <w:top w:val="none" w:sz="0" w:space="0" w:color="auto"/>
            <w:left w:val="none" w:sz="0" w:space="0" w:color="auto"/>
            <w:bottom w:val="none" w:sz="0" w:space="0" w:color="auto"/>
            <w:right w:val="none" w:sz="0" w:space="0" w:color="auto"/>
          </w:divBdr>
        </w:div>
        <w:div w:id="555553717">
          <w:marLeft w:val="360"/>
          <w:marRight w:val="0"/>
          <w:marTop w:val="60"/>
          <w:marBottom w:val="0"/>
          <w:divBdr>
            <w:top w:val="none" w:sz="0" w:space="0" w:color="auto"/>
            <w:left w:val="none" w:sz="0" w:space="0" w:color="auto"/>
            <w:bottom w:val="none" w:sz="0" w:space="0" w:color="auto"/>
            <w:right w:val="none" w:sz="0" w:space="0" w:color="auto"/>
          </w:divBdr>
        </w:div>
      </w:divsChild>
    </w:div>
    <w:div w:id="517812660">
      <w:bodyDiv w:val="1"/>
      <w:marLeft w:val="0"/>
      <w:marRight w:val="0"/>
      <w:marTop w:val="0"/>
      <w:marBottom w:val="0"/>
      <w:divBdr>
        <w:top w:val="none" w:sz="0" w:space="0" w:color="auto"/>
        <w:left w:val="none" w:sz="0" w:space="0" w:color="auto"/>
        <w:bottom w:val="none" w:sz="0" w:space="0" w:color="auto"/>
        <w:right w:val="none" w:sz="0" w:space="0" w:color="auto"/>
      </w:divBdr>
    </w:div>
    <w:div w:id="527262031">
      <w:bodyDiv w:val="1"/>
      <w:marLeft w:val="0"/>
      <w:marRight w:val="0"/>
      <w:marTop w:val="0"/>
      <w:marBottom w:val="0"/>
      <w:divBdr>
        <w:top w:val="none" w:sz="0" w:space="0" w:color="auto"/>
        <w:left w:val="none" w:sz="0" w:space="0" w:color="auto"/>
        <w:bottom w:val="none" w:sz="0" w:space="0" w:color="auto"/>
        <w:right w:val="none" w:sz="0" w:space="0" w:color="auto"/>
      </w:divBdr>
    </w:div>
    <w:div w:id="532503683">
      <w:bodyDiv w:val="1"/>
      <w:marLeft w:val="0"/>
      <w:marRight w:val="0"/>
      <w:marTop w:val="0"/>
      <w:marBottom w:val="0"/>
      <w:divBdr>
        <w:top w:val="none" w:sz="0" w:space="0" w:color="auto"/>
        <w:left w:val="none" w:sz="0" w:space="0" w:color="auto"/>
        <w:bottom w:val="none" w:sz="0" w:space="0" w:color="auto"/>
        <w:right w:val="none" w:sz="0" w:space="0" w:color="auto"/>
      </w:divBdr>
      <w:divsChild>
        <w:div w:id="2025593479">
          <w:marLeft w:val="274"/>
          <w:marRight w:val="0"/>
          <w:marTop w:val="0"/>
          <w:marBottom w:val="0"/>
          <w:divBdr>
            <w:top w:val="none" w:sz="0" w:space="0" w:color="auto"/>
            <w:left w:val="none" w:sz="0" w:space="0" w:color="auto"/>
            <w:bottom w:val="none" w:sz="0" w:space="0" w:color="auto"/>
            <w:right w:val="none" w:sz="0" w:space="0" w:color="auto"/>
          </w:divBdr>
        </w:div>
        <w:div w:id="1190489675">
          <w:marLeft w:val="274"/>
          <w:marRight w:val="0"/>
          <w:marTop w:val="0"/>
          <w:marBottom w:val="0"/>
          <w:divBdr>
            <w:top w:val="none" w:sz="0" w:space="0" w:color="auto"/>
            <w:left w:val="none" w:sz="0" w:space="0" w:color="auto"/>
            <w:bottom w:val="none" w:sz="0" w:space="0" w:color="auto"/>
            <w:right w:val="none" w:sz="0" w:space="0" w:color="auto"/>
          </w:divBdr>
        </w:div>
        <w:div w:id="422840341">
          <w:marLeft w:val="274"/>
          <w:marRight w:val="0"/>
          <w:marTop w:val="54"/>
          <w:marBottom w:val="0"/>
          <w:divBdr>
            <w:top w:val="none" w:sz="0" w:space="0" w:color="auto"/>
            <w:left w:val="none" w:sz="0" w:space="0" w:color="auto"/>
            <w:bottom w:val="none" w:sz="0" w:space="0" w:color="auto"/>
            <w:right w:val="none" w:sz="0" w:space="0" w:color="auto"/>
          </w:divBdr>
        </w:div>
      </w:divsChild>
    </w:div>
    <w:div w:id="534849580">
      <w:bodyDiv w:val="1"/>
      <w:marLeft w:val="0"/>
      <w:marRight w:val="0"/>
      <w:marTop w:val="0"/>
      <w:marBottom w:val="0"/>
      <w:divBdr>
        <w:top w:val="none" w:sz="0" w:space="0" w:color="auto"/>
        <w:left w:val="none" w:sz="0" w:space="0" w:color="auto"/>
        <w:bottom w:val="none" w:sz="0" w:space="0" w:color="auto"/>
        <w:right w:val="none" w:sz="0" w:space="0" w:color="auto"/>
      </w:divBdr>
    </w:div>
    <w:div w:id="556431079">
      <w:bodyDiv w:val="1"/>
      <w:marLeft w:val="0"/>
      <w:marRight w:val="0"/>
      <w:marTop w:val="0"/>
      <w:marBottom w:val="0"/>
      <w:divBdr>
        <w:top w:val="none" w:sz="0" w:space="0" w:color="auto"/>
        <w:left w:val="none" w:sz="0" w:space="0" w:color="auto"/>
        <w:bottom w:val="none" w:sz="0" w:space="0" w:color="auto"/>
        <w:right w:val="none" w:sz="0" w:space="0" w:color="auto"/>
      </w:divBdr>
    </w:div>
    <w:div w:id="559097910">
      <w:bodyDiv w:val="1"/>
      <w:marLeft w:val="0"/>
      <w:marRight w:val="0"/>
      <w:marTop w:val="0"/>
      <w:marBottom w:val="0"/>
      <w:divBdr>
        <w:top w:val="none" w:sz="0" w:space="0" w:color="auto"/>
        <w:left w:val="none" w:sz="0" w:space="0" w:color="auto"/>
        <w:bottom w:val="none" w:sz="0" w:space="0" w:color="auto"/>
        <w:right w:val="none" w:sz="0" w:space="0" w:color="auto"/>
      </w:divBdr>
    </w:div>
    <w:div w:id="563492247">
      <w:bodyDiv w:val="1"/>
      <w:marLeft w:val="0"/>
      <w:marRight w:val="0"/>
      <w:marTop w:val="0"/>
      <w:marBottom w:val="0"/>
      <w:divBdr>
        <w:top w:val="none" w:sz="0" w:space="0" w:color="auto"/>
        <w:left w:val="none" w:sz="0" w:space="0" w:color="auto"/>
        <w:bottom w:val="none" w:sz="0" w:space="0" w:color="auto"/>
        <w:right w:val="none" w:sz="0" w:space="0" w:color="auto"/>
      </w:divBdr>
    </w:div>
    <w:div w:id="575894897">
      <w:bodyDiv w:val="1"/>
      <w:marLeft w:val="0"/>
      <w:marRight w:val="0"/>
      <w:marTop w:val="0"/>
      <w:marBottom w:val="0"/>
      <w:divBdr>
        <w:top w:val="none" w:sz="0" w:space="0" w:color="auto"/>
        <w:left w:val="none" w:sz="0" w:space="0" w:color="auto"/>
        <w:bottom w:val="none" w:sz="0" w:space="0" w:color="auto"/>
        <w:right w:val="none" w:sz="0" w:space="0" w:color="auto"/>
      </w:divBdr>
    </w:div>
    <w:div w:id="576748140">
      <w:bodyDiv w:val="1"/>
      <w:marLeft w:val="0"/>
      <w:marRight w:val="0"/>
      <w:marTop w:val="0"/>
      <w:marBottom w:val="0"/>
      <w:divBdr>
        <w:top w:val="none" w:sz="0" w:space="0" w:color="auto"/>
        <w:left w:val="none" w:sz="0" w:space="0" w:color="auto"/>
        <w:bottom w:val="none" w:sz="0" w:space="0" w:color="auto"/>
        <w:right w:val="none" w:sz="0" w:space="0" w:color="auto"/>
      </w:divBdr>
    </w:div>
    <w:div w:id="582567674">
      <w:bodyDiv w:val="1"/>
      <w:marLeft w:val="0"/>
      <w:marRight w:val="0"/>
      <w:marTop w:val="0"/>
      <w:marBottom w:val="0"/>
      <w:divBdr>
        <w:top w:val="none" w:sz="0" w:space="0" w:color="auto"/>
        <w:left w:val="none" w:sz="0" w:space="0" w:color="auto"/>
        <w:bottom w:val="none" w:sz="0" w:space="0" w:color="auto"/>
        <w:right w:val="none" w:sz="0" w:space="0" w:color="auto"/>
      </w:divBdr>
    </w:div>
    <w:div w:id="588972560">
      <w:bodyDiv w:val="1"/>
      <w:marLeft w:val="0"/>
      <w:marRight w:val="0"/>
      <w:marTop w:val="0"/>
      <w:marBottom w:val="0"/>
      <w:divBdr>
        <w:top w:val="none" w:sz="0" w:space="0" w:color="auto"/>
        <w:left w:val="none" w:sz="0" w:space="0" w:color="auto"/>
        <w:bottom w:val="none" w:sz="0" w:space="0" w:color="auto"/>
        <w:right w:val="none" w:sz="0" w:space="0" w:color="auto"/>
      </w:divBdr>
    </w:div>
    <w:div w:id="596795123">
      <w:bodyDiv w:val="1"/>
      <w:marLeft w:val="0"/>
      <w:marRight w:val="0"/>
      <w:marTop w:val="0"/>
      <w:marBottom w:val="0"/>
      <w:divBdr>
        <w:top w:val="none" w:sz="0" w:space="0" w:color="auto"/>
        <w:left w:val="none" w:sz="0" w:space="0" w:color="auto"/>
        <w:bottom w:val="none" w:sz="0" w:space="0" w:color="auto"/>
        <w:right w:val="none" w:sz="0" w:space="0" w:color="auto"/>
      </w:divBdr>
    </w:div>
    <w:div w:id="609775590">
      <w:bodyDiv w:val="1"/>
      <w:marLeft w:val="0"/>
      <w:marRight w:val="0"/>
      <w:marTop w:val="0"/>
      <w:marBottom w:val="0"/>
      <w:divBdr>
        <w:top w:val="none" w:sz="0" w:space="0" w:color="auto"/>
        <w:left w:val="none" w:sz="0" w:space="0" w:color="auto"/>
        <w:bottom w:val="none" w:sz="0" w:space="0" w:color="auto"/>
        <w:right w:val="none" w:sz="0" w:space="0" w:color="auto"/>
      </w:divBdr>
    </w:div>
    <w:div w:id="612132460">
      <w:bodyDiv w:val="1"/>
      <w:marLeft w:val="0"/>
      <w:marRight w:val="0"/>
      <w:marTop w:val="0"/>
      <w:marBottom w:val="0"/>
      <w:divBdr>
        <w:top w:val="none" w:sz="0" w:space="0" w:color="auto"/>
        <w:left w:val="none" w:sz="0" w:space="0" w:color="auto"/>
        <w:bottom w:val="none" w:sz="0" w:space="0" w:color="auto"/>
        <w:right w:val="none" w:sz="0" w:space="0" w:color="auto"/>
      </w:divBdr>
      <w:divsChild>
        <w:div w:id="1211922917">
          <w:marLeft w:val="547"/>
          <w:marRight w:val="0"/>
          <w:marTop w:val="0"/>
          <w:marBottom w:val="0"/>
          <w:divBdr>
            <w:top w:val="none" w:sz="0" w:space="0" w:color="auto"/>
            <w:left w:val="none" w:sz="0" w:space="0" w:color="auto"/>
            <w:bottom w:val="none" w:sz="0" w:space="0" w:color="auto"/>
            <w:right w:val="none" w:sz="0" w:space="0" w:color="auto"/>
          </w:divBdr>
        </w:div>
        <w:div w:id="67771927">
          <w:marLeft w:val="547"/>
          <w:marRight w:val="0"/>
          <w:marTop w:val="0"/>
          <w:marBottom w:val="0"/>
          <w:divBdr>
            <w:top w:val="none" w:sz="0" w:space="0" w:color="auto"/>
            <w:left w:val="none" w:sz="0" w:space="0" w:color="auto"/>
            <w:bottom w:val="none" w:sz="0" w:space="0" w:color="auto"/>
            <w:right w:val="none" w:sz="0" w:space="0" w:color="auto"/>
          </w:divBdr>
        </w:div>
        <w:div w:id="609510375">
          <w:marLeft w:val="547"/>
          <w:marRight w:val="0"/>
          <w:marTop w:val="0"/>
          <w:marBottom w:val="0"/>
          <w:divBdr>
            <w:top w:val="none" w:sz="0" w:space="0" w:color="auto"/>
            <w:left w:val="none" w:sz="0" w:space="0" w:color="auto"/>
            <w:bottom w:val="none" w:sz="0" w:space="0" w:color="auto"/>
            <w:right w:val="none" w:sz="0" w:space="0" w:color="auto"/>
          </w:divBdr>
        </w:div>
        <w:div w:id="497354370">
          <w:marLeft w:val="547"/>
          <w:marRight w:val="0"/>
          <w:marTop w:val="0"/>
          <w:marBottom w:val="0"/>
          <w:divBdr>
            <w:top w:val="none" w:sz="0" w:space="0" w:color="auto"/>
            <w:left w:val="none" w:sz="0" w:space="0" w:color="auto"/>
            <w:bottom w:val="none" w:sz="0" w:space="0" w:color="auto"/>
            <w:right w:val="none" w:sz="0" w:space="0" w:color="auto"/>
          </w:divBdr>
        </w:div>
      </w:divsChild>
    </w:div>
    <w:div w:id="612592621">
      <w:bodyDiv w:val="1"/>
      <w:marLeft w:val="0"/>
      <w:marRight w:val="0"/>
      <w:marTop w:val="0"/>
      <w:marBottom w:val="0"/>
      <w:divBdr>
        <w:top w:val="none" w:sz="0" w:space="0" w:color="auto"/>
        <w:left w:val="none" w:sz="0" w:space="0" w:color="auto"/>
        <w:bottom w:val="none" w:sz="0" w:space="0" w:color="auto"/>
        <w:right w:val="none" w:sz="0" w:space="0" w:color="auto"/>
      </w:divBdr>
    </w:div>
    <w:div w:id="615524192">
      <w:bodyDiv w:val="1"/>
      <w:marLeft w:val="0"/>
      <w:marRight w:val="0"/>
      <w:marTop w:val="0"/>
      <w:marBottom w:val="0"/>
      <w:divBdr>
        <w:top w:val="none" w:sz="0" w:space="0" w:color="auto"/>
        <w:left w:val="none" w:sz="0" w:space="0" w:color="auto"/>
        <w:bottom w:val="none" w:sz="0" w:space="0" w:color="auto"/>
        <w:right w:val="none" w:sz="0" w:space="0" w:color="auto"/>
      </w:divBdr>
    </w:div>
    <w:div w:id="620112125">
      <w:bodyDiv w:val="1"/>
      <w:marLeft w:val="0"/>
      <w:marRight w:val="0"/>
      <w:marTop w:val="0"/>
      <w:marBottom w:val="0"/>
      <w:divBdr>
        <w:top w:val="none" w:sz="0" w:space="0" w:color="auto"/>
        <w:left w:val="none" w:sz="0" w:space="0" w:color="auto"/>
        <w:bottom w:val="none" w:sz="0" w:space="0" w:color="auto"/>
        <w:right w:val="none" w:sz="0" w:space="0" w:color="auto"/>
      </w:divBdr>
    </w:div>
    <w:div w:id="623968385">
      <w:bodyDiv w:val="1"/>
      <w:marLeft w:val="0"/>
      <w:marRight w:val="0"/>
      <w:marTop w:val="0"/>
      <w:marBottom w:val="0"/>
      <w:divBdr>
        <w:top w:val="none" w:sz="0" w:space="0" w:color="auto"/>
        <w:left w:val="none" w:sz="0" w:space="0" w:color="auto"/>
        <w:bottom w:val="none" w:sz="0" w:space="0" w:color="auto"/>
        <w:right w:val="none" w:sz="0" w:space="0" w:color="auto"/>
      </w:divBdr>
    </w:div>
    <w:div w:id="638464114">
      <w:bodyDiv w:val="1"/>
      <w:marLeft w:val="0"/>
      <w:marRight w:val="0"/>
      <w:marTop w:val="0"/>
      <w:marBottom w:val="0"/>
      <w:divBdr>
        <w:top w:val="none" w:sz="0" w:space="0" w:color="auto"/>
        <w:left w:val="none" w:sz="0" w:space="0" w:color="auto"/>
        <w:bottom w:val="none" w:sz="0" w:space="0" w:color="auto"/>
        <w:right w:val="none" w:sz="0" w:space="0" w:color="auto"/>
      </w:divBdr>
      <w:divsChild>
        <w:div w:id="238099795">
          <w:marLeft w:val="187"/>
          <w:marRight w:val="0"/>
          <w:marTop w:val="0"/>
          <w:marBottom w:val="0"/>
          <w:divBdr>
            <w:top w:val="none" w:sz="0" w:space="0" w:color="auto"/>
            <w:left w:val="none" w:sz="0" w:space="0" w:color="auto"/>
            <w:bottom w:val="none" w:sz="0" w:space="0" w:color="auto"/>
            <w:right w:val="none" w:sz="0" w:space="0" w:color="auto"/>
          </w:divBdr>
        </w:div>
        <w:div w:id="1448937411">
          <w:marLeft w:val="187"/>
          <w:marRight w:val="0"/>
          <w:marTop w:val="36"/>
          <w:marBottom w:val="0"/>
          <w:divBdr>
            <w:top w:val="none" w:sz="0" w:space="0" w:color="auto"/>
            <w:left w:val="none" w:sz="0" w:space="0" w:color="auto"/>
            <w:bottom w:val="none" w:sz="0" w:space="0" w:color="auto"/>
            <w:right w:val="none" w:sz="0" w:space="0" w:color="auto"/>
          </w:divBdr>
        </w:div>
        <w:div w:id="1984234263">
          <w:marLeft w:val="187"/>
          <w:marRight w:val="0"/>
          <w:marTop w:val="36"/>
          <w:marBottom w:val="0"/>
          <w:divBdr>
            <w:top w:val="none" w:sz="0" w:space="0" w:color="auto"/>
            <w:left w:val="none" w:sz="0" w:space="0" w:color="auto"/>
            <w:bottom w:val="none" w:sz="0" w:space="0" w:color="auto"/>
            <w:right w:val="none" w:sz="0" w:space="0" w:color="auto"/>
          </w:divBdr>
        </w:div>
        <w:div w:id="1325354671">
          <w:marLeft w:val="187"/>
          <w:marRight w:val="0"/>
          <w:marTop w:val="36"/>
          <w:marBottom w:val="0"/>
          <w:divBdr>
            <w:top w:val="none" w:sz="0" w:space="0" w:color="auto"/>
            <w:left w:val="none" w:sz="0" w:space="0" w:color="auto"/>
            <w:bottom w:val="none" w:sz="0" w:space="0" w:color="auto"/>
            <w:right w:val="none" w:sz="0" w:space="0" w:color="auto"/>
          </w:divBdr>
        </w:div>
      </w:divsChild>
    </w:div>
    <w:div w:id="644704048">
      <w:bodyDiv w:val="1"/>
      <w:marLeft w:val="0"/>
      <w:marRight w:val="0"/>
      <w:marTop w:val="0"/>
      <w:marBottom w:val="0"/>
      <w:divBdr>
        <w:top w:val="none" w:sz="0" w:space="0" w:color="auto"/>
        <w:left w:val="none" w:sz="0" w:space="0" w:color="auto"/>
        <w:bottom w:val="none" w:sz="0" w:space="0" w:color="auto"/>
        <w:right w:val="none" w:sz="0" w:space="0" w:color="auto"/>
      </w:divBdr>
    </w:div>
    <w:div w:id="650597452">
      <w:bodyDiv w:val="1"/>
      <w:marLeft w:val="0"/>
      <w:marRight w:val="0"/>
      <w:marTop w:val="0"/>
      <w:marBottom w:val="0"/>
      <w:divBdr>
        <w:top w:val="none" w:sz="0" w:space="0" w:color="auto"/>
        <w:left w:val="none" w:sz="0" w:space="0" w:color="auto"/>
        <w:bottom w:val="none" w:sz="0" w:space="0" w:color="auto"/>
        <w:right w:val="none" w:sz="0" w:space="0" w:color="auto"/>
      </w:divBdr>
    </w:div>
    <w:div w:id="651763398">
      <w:bodyDiv w:val="1"/>
      <w:marLeft w:val="0"/>
      <w:marRight w:val="0"/>
      <w:marTop w:val="0"/>
      <w:marBottom w:val="0"/>
      <w:divBdr>
        <w:top w:val="none" w:sz="0" w:space="0" w:color="auto"/>
        <w:left w:val="none" w:sz="0" w:space="0" w:color="auto"/>
        <w:bottom w:val="none" w:sz="0" w:space="0" w:color="auto"/>
        <w:right w:val="none" w:sz="0" w:space="0" w:color="auto"/>
      </w:divBdr>
    </w:div>
    <w:div w:id="653799369">
      <w:bodyDiv w:val="1"/>
      <w:marLeft w:val="0"/>
      <w:marRight w:val="0"/>
      <w:marTop w:val="0"/>
      <w:marBottom w:val="0"/>
      <w:divBdr>
        <w:top w:val="none" w:sz="0" w:space="0" w:color="auto"/>
        <w:left w:val="none" w:sz="0" w:space="0" w:color="auto"/>
        <w:bottom w:val="none" w:sz="0" w:space="0" w:color="auto"/>
        <w:right w:val="none" w:sz="0" w:space="0" w:color="auto"/>
      </w:divBdr>
    </w:div>
    <w:div w:id="660039498">
      <w:bodyDiv w:val="1"/>
      <w:marLeft w:val="0"/>
      <w:marRight w:val="0"/>
      <w:marTop w:val="0"/>
      <w:marBottom w:val="0"/>
      <w:divBdr>
        <w:top w:val="none" w:sz="0" w:space="0" w:color="auto"/>
        <w:left w:val="none" w:sz="0" w:space="0" w:color="auto"/>
        <w:bottom w:val="none" w:sz="0" w:space="0" w:color="auto"/>
        <w:right w:val="none" w:sz="0" w:space="0" w:color="auto"/>
      </w:divBdr>
    </w:div>
    <w:div w:id="660351244">
      <w:bodyDiv w:val="1"/>
      <w:marLeft w:val="0"/>
      <w:marRight w:val="0"/>
      <w:marTop w:val="0"/>
      <w:marBottom w:val="0"/>
      <w:divBdr>
        <w:top w:val="none" w:sz="0" w:space="0" w:color="auto"/>
        <w:left w:val="none" w:sz="0" w:space="0" w:color="auto"/>
        <w:bottom w:val="none" w:sz="0" w:space="0" w:color="auto"/>
        <w:right w:val="none" w:sz="0" w:space="0" w:color="auto"/>
      </w:divBdr>
    </w:div>
    <w:div w:id="666203336">
      <w:bodyDiv w:val="1"/>
      <w:marLeft w:val="0"/>
      <w:marRight w:val="0"/>
      <w:marTop w:val="0"/>
      <w:marBottom w:val="0"/>
      <w:divBdr>
        <w:top w:val="none" w:sz="0" w:space="0" w:color="auto"/>
        <w:left w:val="none" w:sz="0" w:space="0" w:color="auto"/>
        <w:bottom w:val="none" w:sz="0" w:space="0" w:color="auto"/>
        <w:right w:val="none" w:sz="0" w:space="0" w:color="auto"/>
      </w:divBdr>
    </w:div>
    <w:div w:id="668171851">
      <w:bodyDiv w:val="1"/>
      <w:marLeft w:val="0"/>
      <w:marRight w:val="0"/>
      <w:marTop w:val="0"/>
      <w:marBottom w:val="0"/>
      <w:divBdr>
        <w:top w:val="none" w:sz="0" w:space="0" w:color="auto"/>
        <w:left w:val="none" w:sz="0" w:space="0" w:color="auto"/>
        <w:bottom w:val="none" w:sz="0" w:space="0" w:color="auto"/>
        <w:right w:val="none" w:sz="0" w:space="0" w:color="auto"/>
      </w:divBdr>
    </w:div>
    <w:div w:id="692805794">
      <w:bodyDiv w:val="1"/>
      <w:marLeft w:val="0"/>
      <w:marRight w:val="0"/>
      <w:marTop w:val="0"/>
      <w:marBottom w:val="0"/>
      <w:divBdr>
        <w:top w:val="none" w:sz="0" w:space="0" w:color="auto"/>
        <w:left w:val="none" w:sz="0" w:space="0" w:color="auto"/>
        <w:bottom w:val="none" w:sz="0" w:space="0" w:color="auto"/>
        <w:right w:val="none" w:sz="0" w:space="0" w:color="auto"/>
      </w:divBdr>
    </w:div>
    <w:div w:id="707685128">
      <w:bodyDiv w:val="1"/>
      <w:marLeft w:val="0"/>
      <w:marRight w:val="0"/>
      <w:marTop w:val="0"/>
      <w:marBottom w:val="0"/>
      <w:divBdr>
        <w:top w:val="none" w:sz="0" w:space="0" w:color="auto"/>
        <w:left w:val="none" w:sz="0" w:space="0" w:color="auto"/>
        <w:bottom w:val="none" w:sz="0" w:space="0" w:color="auto"/>
        <w:right w:val="none" w:sz="0" w:space="0" w:color="auto"/>
      </w:divBdr>
    </w:div>
    <w:div w:id="712197609">
      <w:bodyDiv w:val="1"/>
      <w:marLeft w:val="0"/>
      <w:marRight w:val="0"/>
      <w:marTop w:val="0"/>
      <w:marBottom w:val="0"/>
      <w:divBdr>
        <w:top w:val="none" w:sz="0" w:space="0" w:color="auto"/>
        <w:left w:val="none" w:sz="0" w:space="0" w:color="auto"/>
        <w:bottom w:val="none" w:sz="0" w:space="0" w:color="auto"/>
        <w:right w:val="none" w:sz="0" w:space="0" w:color="auto"/>
      </w:divBdr>
      <w:divsChild>
        <w:div w:id="2094817007">
          <w:marLeft w:val="446"/>
          <w:marRight w:val="0"/>
          <w:marTop w:val="0"/>
          <w:marBottom w:val="0"/>
          <w:divBdr>
            <w:top w:val="none" w:sz="0" w:space="0" w:color="auto"/>
            <w:left w:val="none" w:sz="0" w:space="0" w:color="auto"/>
            <w:bottom w:val="none" w:sz="0" w:space="0" w:color="auto"/>
            <w:right w:val="none" w:sz="0" w:space="0" w:color="auto"/>
          </w:divBdr>
        </w:div>
        <w:div w:id="900482826">
          <w:marLeft w:val="446"/>
          <w:marRight w:val="0"/>
          <w:marTop w:val="0"/>
          <w:marBottom w:val="0"/>
          <w:divBdr>
            <w:top w:val="none" w:sz="0" w:space="0" w:color="auto"/>
            <w:left w:val="none" w:sz="0" w:space="0" w:color="auto"/>
            <w:bottom w:val="none" w:sz="0" w:space="0" w:color="auto"/>
            <w:right w:val="none" w:sz="0" w:space="0" w:color="auto"/>
          </w:divBdr>
        </w:div>
        <w:div w:id="663514158">
          <w:marLeft w:val="446"/>
          <w:marRight w:val="0"/>
          <w:marTop w:val="0"/>
          <w:marBottom w:val="0"/>
          <w:divBdr>
            <w:top w:val="none" w:sz="0" w:space="0" w:color="auto"/>
            <w:left w:val="none" w:sz="0" w:space="0" w:color="auto"/>
            <w:bottom w:val="none" w:sz="0" w:space="0" w:color="auto"/>
            <w:right w:val="none" w:sz="0" w:space="0" w:color="auto"/>
          </w:divBdr>
        </w:div>
        <w:div w:id="384640698">
          <w:marLeft w:val="446"/>
          <w:marRight w:val="0"/>
          <w:marTop w:val="320"/>
          <w:marBottom w:val="0"/>
          <w:divBdr>
            <w:top w:val="none" w:sz="0" w:space="0" w:color="auto"/>
            <w:left w:val="none" w:sz="0" w:space="0" w:color="auto"/>
            <w:bottom w:val="none" w:sz="0" w:space="0" w:color="auto"/>
            <w:right w:val="none" w:sz="0" w:space="0" w:color="auto"/>
          </w:divBdr>
        </w:div>
        <w:div w:id="604121554">
          <w:marLeft w:val="446"/>
          <w:marRight w:val="0"/>
          <w:marTop w:val="320"/>
          <w:marBottom w:val="0"/>
          <w:divBdr>
            <w:top w:val="none" w:sz="0" w:space="0" w:color="auto"/>
            <w:left w:val="none" w:sz="0" w:space="0" w:color="auto"/>
            <w:bottom w:val="none" w:sz="0" w:space="0" w:color="auto"/>
            <w:right w:val="none" w:sz="0" w:space="0" w:color="auto"/>
          </w:divBdr>
        </w:div>
        <w:div w:id="849835180">
          <w:marLeft w:val="446"/>
          <w:marRight w:val="0"/>
          <w:marTop w:val="320"/>
          <w:marBottom w:val="0"/>
          <w:divBdr>
            <w:top w:val="none" w:sz="0" w:space="0" w:color="auto"/>
            <w:left w:val="none" w:sz="0" w:space="0" w:color="auto"/>
            <w:bottom w:val="none" w:sz="0" w:space="0" w:color="auto"/>
            <w:right w:val="none" w:sz="0" w:space="0" w:color="auto"/>
          </w:divBdr>
        </w:div>
        <w:div w:id="1505899097">
          <w:marLeft w:val="446"/>
          <w:marRight w:val="0"/>
          <w:marTop w:val="320"/>
          <w:marBottom w:val="53"/>
          <w:divBdr>
            <w:top w:val="none" w:sz="0" w:space="0" w:color="auto"/>
            <w:left w:val="none" w:sz="0" w:space="0" w:color="auto"/>
            <w:bottom w:val="none" w:sz="0" w:space="0" w:color="auto"/>
            <w:right w:val="none" w:sz="0" w:space="0" w:color="auto"/>
          </w:divBdr>
        </w:div>
      </w:divsChild>
    </w:div>
    <w:div w:id="713044855">
      <w:bodyDiv w:val="1"/>
      <w:marLeft w:val="0"/>
      <w:marRight w:val="0"/>
      <w:marTop w:val="0"/>
      <w:marBottom w:val="0"/>
      <w:divBdr>
        <w:top w:val="none" w:sz="0" w:space="0" w:color="auto"/>
        <w:left w:val="none" w:sz="0" w:space="0" w:color="auto"/>
        <w:bottom w:val="none" w:sz="0" w:space="0" w:color="auto"/>
        <w:right w:val="none" w:sz="0" w:space="0" w:color="auto"/>
      </w:divBdr>
    </w:div>
    <w:div w:id="715550796">
      <w:bodyDiv w:val="1"/>
      <w:marLeft w:val="0"/>
      <w:marRight w:val="0"/>
      <w:marTop w:val="0"/>
      <w:marBottom w:val="0"/>
      <w:divBdr>
        <w:top w:val="none" w:sz="0" w:space="0" w:color="auto"/>
        <w:left w:val="none" w:sz="0" w:space="0" w:color="auto"/>
        <w:bottom w:val="none" w:sz="0" w:space="0" w:color="auto"/>
        <w:right w:val="none" w:sz="0" w:space="0" w:color="auto"/>
      </w:divBdr>
    </w:div>
    <w:div w:id="729301898">
      <w:bodyDiv w:val="1"/>
      <w:marLeft w:val="0"/>
      <w:marRight w:val="0"/>
      <w:marTop w:val="0"/>
      <w:marBottom w:val="0"/>
      <w:divBdr>
        <w:top w:val="none" w:sz="0" w:space="0" w:color="auto"/>
        <w:left w:val="none" w:sz="0" w:space="0" w:color="auto"/>
        <w:bottom w:val="none" w:sz="0" w:space="0" w:color="auto"/>
        <w:right w:val="none" w:sz="0" w:space="0" w:color="auto"/>
      </w:divBdr>
    </w:div>
    <w:div w:id="754474391">
      <w:bodyDiv w:val="1"/>
      <w:marLeft w:val="0"/>
      <w:marRight w:val="0"/>
      <w:marTop w:val="0"/>
      <w:marBottom w:val="0"/>
      <w:divBdr>
        <w:top w:val="none" w:sz="0" w:space="0" w:color="auto"/>
        <w:left w:val="none" w:sz="0" w:space="0" w:color="auto"/>
        <w:bottom w:val="none" w:sz="0" w:space="0" w:color="auto"/>
        <w:right w:val="none" w:sz="0" w:space="0" w:color="auto"/>
      </w:divBdr>
    </w:div>
    <w:div w:id="758062264">
      <w:bodyDiv w:val="1"/>
      <w:marLeft w:val="0"/>
      <w:marRight w:val="0"/>
      <w:marTop w:val="0"/>
      <w:marBottom w:val="0"/>
      <w:divBdr>
        <w:top w:val="none" w:sz="0" w:space="0" w:color="auto"/>
        <w:left w:val="none" w:sz="0" w:space="0" w:color="auto"/>
        <w:bottom w:val="none" w:sz="0" w:space="0" w:color="auto"/>
        <w:right w:val="none" w:sz="0" w:space="0" w:color="auto"/>
      </w:divBdr>
    </w:div>
    <w:div w:id="782388132">
      <w:bodyDiv w:val="1"/>
      <w:marLeft w:val="0"/>
      <w:marRight w:val="0"/>
      <w:marTop w:val="0"/>
      <w:marBottom w:val="0"/>
      <w:divBdr>
        <w:top w:val="none" w:sz="0" w:space="0" w:color="auto"/>
        <w:left w:val="none" w:sz="0" w:space="0" w:color="auto"/>
        <w:bottom w:val="none" w:sz="0" w:space="0" w:color="auto"/>
        <w:right w:val="none" w:sz="0" w:space="0" w:color="auto"/>
      </w:divBdr>
    </w:div>
    <w:div w:id="790897688">
      <w:bodyDiv w:val="1"/>
      <w:marLeft w:val="0"/>
      <w:marRight w:val="0"/>
      <w:marTop w:val="0"/>
      <w:marBottom w:val="0"/>
      <w:divBdr>
        <w:top w:val="none" w:sz="0" w:space="0" w:color="auto"/>
        <w:left w:val="none" w:sz="0" w:space="0" w:color="auto"/>
        <w:bottom w:val="none" w:sz="0" w:space="0" w:color="auto"/>
        <w:right w:val="none" w:sz="0" w:space="0" w:color="auto"/>
      </w:divBdr>
    </w:div>
    <w:div w:id="793712959">
      <w:bodyDiv w:val="1"/>
      <w:marLeft w:val="0"/>
      <w:marRight w:val="0"/>
      <w:marTop w:val="0"/>
      <w:marBottom w:val="0"/>
      <w:divBdr>
        <w:top w:val="none" w:sz="0" w:space="0" w:color="auto"/>
        <w:left w:val="none" w:sz="0" w:space="0" w:color="auto"/>
        <w:bottom w:val="none" w:sz="0" w:space="0" w:color="auto"/>
        <w:right w:val="none" w:sz="0" w:space="0" w:color="auto"/>
      </w:divBdr>
    </w:div>
    <w:div w:id="809596233">
      <w:bodyDiv w:val="1"/>
      <w:marLeft w:val="0"/>
      <w:marRight w:val="0"/>
      <w:marTop w:val="0"/>
      <w:marBottom w:val="0"/>
      <w:divBdr>
        <w:top w:val="none" w:sz="0" w:space="0" w:color="auto"/>
        <w:left w:val="none" w:sz="0" w:space="0" w:color="auto"/>
        <w:bottom w:val="none" w:sz="0" w:space="0" w:color="auto"/>
        <w:right w:val="none" w:sz="0" w:space="0" w:color="auto"/>
      </w:divBdr>
    </w:div>
    <w:div w:id="823937474">
      <w:bodyDiv w:val="1"/>
      <w:marLeft w:val="0"/>
      <w:marRight w:val="0"/>
      <w:marTop w:val="0"/>
      <w:marBottom w:val="0"/>
      <w:divBdr>
        <w:top w:val="none" w:sz="0" w:space="0" w:color="auto"/>
        <w:left w:val="none" w:sz="0" w:space="0" w:color="auto"/>
        <w:bottom w:val="none" w:sz="0" w:space="0" w:color="auto"/>
        <w:right w:val="none" w:sz="0" w:space="0" w:color="auto"/>
      </w:divBdr>
    </w:div>
    <w:div w:id="828131143">
      <w:bodyDiv w:val="1"/>
      <w:marLeft w:val="0"/>
      <w:marRight w:val="0"/>
      <w:marTop w:val="0"/>
      <w:marBottom w:val="0"/>
      <w:divBdr>
        <w:top w:val="none" w:sz="0" w:space="0" w:color="auto"/>
        <w:left w:val="none" w:sz="0" w:space="0" w:color="auto"/>
        <w:bottom w:val="none" w:sz="0" w:space="0" w:color="auto"/>
        <w:right w:val="none" w:sz="0" w:space="0" w:color="auto"/>
      </w:divBdr>
    </w:div>
    <w:div w:id="841239582">
      <w:bodyDiv w:val="1"/>
      <w:marLeft w:val="0"/>
      <w:marRight w:val="0"/>
      <w:marTop w:val="0"/>
      <w:marBottom w:val="0"/>
      <w:divBdr>
        <w:top w:val="none" w:sz="0" w:space="0" w:color="auto"/>
        <w:left w:val="none" w:sz="0" w:space="0" w:color="auto"/>
        <w:bottom w:val="none" w:sz="0" w:space="0" w:color="auto"/>
        <w:right w:val="none" w:sz="0" w:space="0" w:color="auto"/>
      </w:divBdr>
    </w:div>
    <w:div w:id="848831343">
      <w:bodyDiv w:val="1"/>
      <w:marLeft w:val="0"/>
      <w:marRight w:val="0"/>
      <w:marTop w:val="0"/>
      <w:marBottom w:val="0"/>
      <w:divBdr>
        <w:top w:val="none" w:sz="0" w:space="0" w:color="auto"/>
        <w:left w:val="none" w:sz="0" w:space="0" w:color="auto"/>
        <w:bottom w:val="none" w:sz="0" w:space="0" w:color="auto"/>
        <w:right w:val="none" w:sz="0" w:space="0" w:color="auto"/>
      </w:divBdr>
      <w:divsChild>
        <w:div w:id="272443685">
          <w:marLeft w:val="1440"/>
          <w:marRight w:val="0"/>
          <w:marTop w:val="100"/>
          <w:marBottom w:val="0"/>
          <w:divBdr>
            <w:top w:val="none" w:sz="0" w:space="0" w:color="auto"/>
            <w:left w:val="none" w:sz="0" w:space="0" w:color="auto"/>
            <w:bottom w:val="none" w:sz="0" w:space="0" w:color="auto"/>
            <w:right w:val="none" w:sz="0" w:space="0" w:color="auto"/>
          </w:divBdr>
        </w:div>
        <w:div w:id="2072344690">
          <w:marLeft w:val="1440"/>
          <w:marRight w:val="0"/>
          <w:marTop w:val="100"/>
          <w:marBottom w:val="0"/>
          <w:divBdr>
            <w:top w:val="none" w:sz="0" w:space="0" w:color="auto"/>
            <w:left w:val="none" w:sz="0" w:space="0" w:color="auto"/>
            <w:bottom w:val="none" w:sz="0" w:space="0" w:color="auto"/>
            <w:right w:val="none" w:sz="0" w:space="0" w:color="auto"/>
          </w:divBdr>
        </w:div>
        <w:div w:id="618728994">
          <w:marLeft w:val="1440"/>
          <w:marRight w:val="0"/>
          <w:marTop w:val="100"/>
          <w:marBottom w:val="0"/>
          <w:divBdr>
            <w:top w:val="none" w:sz="0" w:space="0" w:color="auto"/>
            <w:left w:val="none" w:sz="0" w:space="0" w:color="auto"/>
            <w:bottom w:val="none" w:sz="0" w:space="0" w:color="auto"/>
            <w:right w:val="none" w:sz="0" w:space="0" w:color="auto"/>
          </w:divBdr>
        </w:div>
        <w:div w:id="1491487157">
          <w:marLeft w:val="1440"/>
          <w:marRight w:val="0"/>
          <w:marTop w:val="100"/>
          <w:marBottom w:val="0"/>
          <w:divBdr>
            <w:top w:val="none" w:sz="0" w:space="0" w:color="auto"/>
            <w:left w:val="none" w:sz="0" w:space="0" w:color="auto"/>
            <w:bottom w:val="none" w:sz="0" w:space="0" w:color="auto"/>
            <w:right w:val="none" w:sz="0" w:space="0" w:color="auto"/>
          </w:divBdr>
        </w:div>
      </w:divsChild>
    </w:div>
    <w:div w:id="859465374">
      <w:bodyDiv w:val="1"/>
      <w:marLeft w:val="0"/>
      <w:marRight w:val="0"/>
      <w:marTop w:val="0"/>
      <w:marBottom w:val="0"/>
      <w:divBdr>
        <w:top w:val="none" w:sz="0" w:space="0" w:color="auto"/>
        <w:left w:val="none" w:sz="0" w:space="0" w:color="auto"/>
        <w:bottom w:val="none" w:sz="0" w:space="0" w:color="auto"/>
        <w:right w:val="none" w:sz="0" w:space="0" w:color="auto"/>
      </w:divBdr>
    </w:div>
    <w:div w:id="883950253">
      <w:bodyDiv w:val="1"/>
      <w:marLeft w:val="0"/>
      <w:marRight w:val="0"/>
      <w:marTop w:val="0"/>
      <w:marBottom w:val="0"/>
      <w:divBdr>
        <w:top w:val="none" w:sz="0" w:space="0" w:color="auto"/>
        <w:left w:val="none" w:sz="0" w:space="0" w:color="auto"/>
        <w:bottom w:val="none" w:sz="0" w:space="0" w:color="auto"/>
        <w:right w:val="none" w:sz="0" w:space="0" w:color="auto"/>
      </w:divBdr>
    </w:div>
    <w:div w:id="889145788">
      <w:bodyDiv w:val="1"/>
      <w:marLeft w:val="0"/>
      <w:marRight w:val="0"/>
      <w:marTop w:val="0"/>
      <w:marBottom w:val="0"/>
      <w:divBdr>
        <w:top w:val="none" w:sz="0" w:space="0" w:color="auto"/>
        <w:left w:val="none" w:sz="0" w:space="0" w:color="auto"/>
        <w:bottom w:val="none" w:sz="0" w:space="0" w:color="auto"/>
        <w:right w:val="none" w:sz="0" w:space="0" w:color="auto"/>
      </w:divBdr>
    </w:div>
    <w:div w:id="896550797">
      <w:bodyDiv w:val="1"/>
      <w:marLeft w:val="0"/>
      <w:marRight w:val="0"/>
      <w:marTop w:val="0"/>
      <w:marBottom w:val="0"/>
      <w:divBdr>
        <w:top w:val="none" w:sz="0" w:space="0" w:color="auto"/>
        <w:left w:val="none" w:sz="0" w:space="0" w:color="auto"/>
        <w:bottom w:val="none" w:sz="0" w:space="0" w:color="auto"/>
        <w:right w:val="none" w:sz="0" w:space="0" w:color="auto"/>
      </w:divBdr>
    </w:div>
    <w:div w:id="904560110">
      <w:bodyDiv w:val="1"/>
      <w:marLeft w:val="0"/>
      <w:marRight w:val="0"/>
      <w:marTop w:val="0"/>
      <w:marBottom w:val="0"/>
      <w:divBdr>
        <w:top w:val="none" w:sz="0" w:space="0" w:color="auto"/>
        <w:left w:val="none" w:sz="0" w:space="0" w:color="auto"/>
        <w:bottom w:val="none" w:sz="0" w:space="0" w:color="auto"/>
        <w:right w:val="none" w:sz="0" w:space="0" w:color="auto"/>
      </w:divBdr>
    </w:div>
    <w:div w:id="928075647">
      <w:bodyDiv w:val="1"/>
      <w:marLeft w:val="0"/>
      <w:marRight w:val="0"/>
      <w:marTop w:val="0"/>
      <w:marBottom w:val="0"/>
      <w:divBdr>
        <w:top w:val="none" w:sz="0" w:space="0" w:color="auto"/>
        <w:left w:val="none" w:sz="0" w:space="0" w:color="auto"/>
        <w:bottom w:val="none" w:sz="0" w:space="0" w:color="auto"/>
        <w:right w:val="none" w:sz="0" w:space="0" w:color="auto"/>
      </w:divBdr>
    </w:div>
    <w:div w:id="944658008">
      <w:bodyDiv w:val="1"/>
      <w:marLeft w:val="0"/>
      <w:marRight w:val="0"/>
      <w:marTop w:val="0"/>
      <w:marBottom w:val="0"/>
      <w:divBdr>
        <w:top w:val="none" w:sz="0" w:space="0" w:color="auto"/>
        <w:left w:val="none" w:sz="0" w:space="0" w:color="auto"/>
        <w:bottom w:val="none" w:sz="0" w:space="0" w:color="auto"/>
        <w:right w:val="none" w:sz="0" w:space="0" w:color="auto"/>
      </w:divBdr>
    </w:div>
    <w:div w:id="946886705">
      <w:bodyDiv w:val="1"/>
      <w:marLeft w:val="0"/>
      <w:marRight w:val="0"/>
      <w:marTop w:val="0"/>
      <w:marBottom w:val="0"/>
      <w:divBdr>
        <w:top w:val="none" w:sz="0" w:space="0" w:color="auto"/>
        <w:left w:val="none" w:sz="0" w:space="0" w:color="auto"/>
        <w:bottom w:val="none" w:sz="0" w:space="0" w:color="auto"/>
        <w:right w:val="none" w:sz="0" w:space="0" w:color="auto"/>
      </w:divBdr>
    </w:div>
    <w:div w:id="966474962">
      <w:bodyDiv w:val="1"/>
      <w:marLeft w:val="0"/>
      <w:marRight w:val="0"/>
      <w:marTop w:val="0"/>
      <w:marBottom w:val="0"/>
      <w:divBdr>
        <w:top w:val="none" w:sz="0" w:space="0" w:color="auto"/>
        <w:left w:val="none" w:sz="0" w:space="0" w:color="auto"/>
        <w:bottom w:val="none" w:sz="0" w:space="0" w:color="auto"/>
        <w:right w:val="none" w:sz="0" w:space="0" w:color="auto"/>
      </w:divBdr>
    </w:div>
    <w:div w:id="974214605">
      <w:bodyDiv w:val="1"/>
      <w:marLeft w:val="0"/>
      <w:marRight w:val="0"/>
      <w:marTop w:val="0"/>
      <w:marBottom w:val="0"/>
      <w:divBdr>
        <w:top w:val="none" w:sz="0" w:space="0" w:color="auto"/>
        <w:left w:val="none" w:sz="0" w:space="0" w:color="auto"/>
        <w:bottom w:val="none" w:sz="0" w:space="0" w:color="auto"/>
        <w:right w:val="none" w:sz="0" w:space="0" w:color="auto"/>
      </w:divBdr>
    </w:div>
    <w:div w:id="974529794">
      <w:bodyDiv w:val="1"/>
      <w:marLeft w:val="0"/>
      <w:marRight w:val="0"/>
      <w:marTop w:val="0"/>
      <w:marBottom w:val="0"/>
      <w:divBdr>
        <w:top w:val="none" w:sz="0" w:space="0" w:color="auto"/>
        <w:left w:val="none" w:sz="0" w:space="0" w:color="auto"/>
        <w:bottom w:val="none" w:sz="0" w:space="0" w:color="auto"/>
        <w:right w:val="none" w:sz="0" w:space="0" w:color="auto"/>
      </w:divBdr>
    </w:div>
    <w:div w:id="988098707">
      <w:bodyDiv w:val="1"/>
      <w:marLeft w:val="0"/>
      <w:marRight w:val="0"/>
      <w:marTop w:val="0"/>
      <w:marBottom w:val="0"/>
      <w:divBdr>
        <w:top w:val="none" w:sz="0" w:space="0" w:color="auto"/>
        <w:left w:val="none" w:sz="0" w:space="0" w:color="auto"/>
        <w:bottom w:val="none" w:sz="0" w:space="0" w:color="auto"/>
        <w:right w:val="none" w:sz="0" w:space="0" w:color="auto"/>
      </w:divBdr>
    </w:div>
    <w:div w:id="1026057674">
      <w:bodyDiv w:val="1"/>
      <w:marLeft w:val="0"/>
      <w:marRight w:val="0"/>
      <w:marTop w:val="0"/>
      <w:marBottom w:val="0"/>
      <w:divBdr>
        <w:top w:val="none" w:sz="0" w:space="0" w:color="auto"/>
        <w:left w:val="none" w:sz="0" w:space="0" w:color="auto"/>
        <w:bottom w:val="none" w:sz="0" w:space="0" w:color="auto"/>
        <w:right w:val="none" w:sz="0" w:space="0" w:color="auto"/>
      </w:divBdr>
    </w:div>
    <w:div w:id="1042635541">
      <w:bodyDiv w:val="1"/>
      <w:marLeft w:val="0"/>
      <w:marRight w:val="0"/>
      <w:marTop w:val="0"/>
      <w:marBottom w:val="0"/>
      <w:divBdr>
        <w:top w:val="none" w:sz="0" w:space="0" w:color="auto"/>
        <w:left w:val="none" w:sz="0" w:space="0" w:color="auto"/>
        <w:bottom w:val="none" w:sz="0" w:space="0" w:color="auto"/>
        <w:right w:val="none" w:sz="0" w:space="0" w:color="auto"/>
      </w:divBdr>
    </w:div>
    <w:div w:id="1079713066">
      <w:bodyDiv w:val="1"/>
      <w:marLeft w:val="0"/>
      <w:marRight w:val="0"/>
      <w:marTop w:val="0"/>
      <w:marBottom w:val="0"/>
      <w:divBdr>
        <w:top w:val="none" w:sz="0" w:space="0" w:color="auto"/>
        <w:left w:val="none" w:sz="0" w:space="0" w:color="auto"/>
        <w:bottom w:val="none" w:sz="0" w:space="0" w:color="auto"/>
        <w:right w:val="none" w:sz="0" w:space="0" w:color="auto"/>
      </w:divBdr>
    </w:div>
    <w:div w:id="1099834098">
      <w:bodyDiv w:val="1"/>
      <w:marLeft w:val="0"/>
      <w:marRight w:val="0"/>
      <w:marTop w:val="0"/>
      <w:marBottom w:val="0"/>
      <w:divBdr>
        <w:top w:val="none" w:sz="0" w:space="0" w:color="auto"/>
        <w:left w:val="none" w:sz="0" w:space="0" w:color="auto"/>
        <w:bottom w:val="none" w:sz="0" w:space="0" w:color="auto"/>
        <w:right w:val="none" w:sz="0" w:space="0" w:color="auto"/>
      </w:divBdr>
    </w:div>
    <w:div w:id="1104958262">
      <w:bodyDiv w:val="1"/>
      <w:marLeft w:val="0"/>
      <w:marRight w:val="0"/>
      <w:marTop w:val="0"/>
      <w:marBottom w:val="0"/>
      <w:divBdr>
        <w:top w:val="none" w:sz="0" w:space="0" w:color="auto"/>
        <w:left w:val="none" w:sz="0" w:space="0" w:color="auto"/>
        <w:bottom w:val="none" w:sz="0" w:space="0" w:color="auto"/>
        <w:right w:val="none" w:sz="0" w:space="0" w:color="auto"/>
      </w:divBdr>
    </w:div>
    <w:div w:id="1112898578">
      <w:bodyDiv w:val="1"/>
      <w:marLeft w:val="0"/>
      <w:marRight w:val="0"/>
      <w:marTop w:val="0"/>
      <w:marBottom w:val="0"/>
      <w:divBdr>
        <w:top w:val="none" w:sz="0" w:space="0" w:color="auto"/>
        <w:left w:val="none" w:sz="0" w:space="0" w:color="auto"/>
        <w:bottom w:val="none" w:sz="0" w:space="0" w:color="auto"/>
        <w:right w:val="none" w:sz="0" w:space="0" w:color="auto"/>
      </w:divBdr>
    </w:div>
    <w:div w:id="1122502930">
      <w:bodyDiv w:val="1"/>
      <w:marLeft w:val="0"/>
      <w:marRight w:val="0"/>
      <w:marTop w:val="0"/>
      <w:marBottom w:val="0"/>
      <w:divBdr>
        <w:top w:val="none" w:sz="0" w:space="0" w:color="auto"/>
        <w:left w:val="none" w:sz="0" w:space="0" w:color="auto"/>
        <w:bottom w:val="none" w:sz="0" w:space="0" w:color="auto"/>
        <w:right w:val="none" w:sz="0" w:space="0" w:color="auto"/>
      </w:divBdr>
    </w:div>
    <w:div w:id="1130125188">
      <w:bodyDiv w:val="1"/>
      <w:marLeft w:val="0"/>
      <w:marRight w:val="0"/>
      <w:marTop w:val="0"/>
      <w:marBottom w:val="0"/>
      <w:divBdr>
        <w:top w:val="none" w:sz="0" w:space="0" w:color="auto"/>
        <w:left w:val="none" w:sz="0" w:space="0" w:color="auto"/>
        <w:bottom w:val="none" w:sz="0" w:space="0" w:color="auto"/>
        <w:right w:val="none" w:sz="0" w:space="0" w:color="auto"/>
      </w:divBdr>
    </w:div>
    <w:div w:id="1138184892">
      <w:bodyDiv w:val="1"/>
      <w:marLeft w:val="0"/>
      <w:marRight w:val="0"/>
      <w:marTop w:val="0"/>
      <w:marBottom w:val="0"/>
      <w:divBdr>
        <w:top w:val="none" w:sz="0" w:space="0" w:color="auto"/>
        <w:left w:val="none" w:sz="0" w:space="0" w:color="auto"/>
        <w:bottom w:val="none" w:sz="0" w:space="0" w:color="auto"/>
        <w:right w:val="none" w:sz="0" w:space="0" w:color="auto"/>
      </w:divBdr>
    </w:div>
    <w:div w:id="1145271538">
      <w:bodyDiv w:val="1"/>
      <w:marLeft w:val="0"/>
      <w:marRight w:val="0"/>
      <w:marTop w:val="0"/>
      <w:marBottom w:val="0"/>
      <w:divBdr>
        <w:top w:val="none" w:sz="0" w:space="0" w:color="auto"/>
        <w:left w:val="none" w:sz="0" w:space="0" w:color="auto"/>
        <w:bottom w:val="none" w:sz="0" w:space="0" w:color="auto"/>
        <w:right w:val="none" w:sz="0" w:space="0" w:color="auto"/>
      </w:divBdr>
      <w:divsChild>
        <w:div w:id="460224195">
          <w:marLeft w:val="274"/>
          <w:marRight w:val="0"/>
          <w:marTop w:val="0"/>
          <w:marBottom w:val="0"/>
          <w:divBdr>
            <w:top w:val="none" w:sz="0" w:space="0" w:color="auto"/>
            <w:left w:val="none" w:sz="0" w:space="0" w:color="auto"/>
            <w:bottom w:val="none" w:sz="0" w:space="0" w:color="auto"/>
            <w:right w:val="none" w:sz="0" w:space="0" w:color="auto"/>
          </w:divBdr>
        </w:div>
      </w:divsChild>
    </w:div>
    <w:div w:id="1157503248">
      <w:bodyDiv w:val="1"/>
      <w:marLeft w:val="0"/>
      <w:marRight w:val="0"/>
      <w:marTop w:val="0"/>
      <w:marBottom w:val="0"/>
      <w:divBdr>
        <w:top w:val="none" w:sz="0" w:space="0" w:color="auto"/>
        <w:left w:val="none" w:sz="0" w:space="0" w:color="auto"/>
        <w:bottom w:val="none" w:sz="0" w:space="0" w:color="auto"/>
        <w:right w:val="none" w:sz="0" w:space="0" w:color="auto"/>
      </w:divBdr>
    </w:div>
    <w:div w:id="1172723500">
      <w:bodyDiv w:val="1"/>
      <w:marLeft w:val="0"/>
      <w:marRight w:val="0"/>
      <w:marTop w:val="0"/>
      <w:marBottom w:val="0"/>
      <w:divBdr>
        <w:top w:val="none" w:sz="0" w:space="0" w:color="auto"/>
        <w:left w:val="none" w:sz="0" w:space="0" w:color="auto"/>
        <w:bottom w:val="none" w:sz="0" w:space="0" w:color="auto"/>
        <w:right w:val="none" w:sz="0" w:space="0" w:color="auto"/>
      </w:divBdr>
    </w:div>
    <w:div w:id="1177384252">
      <w:bodyDiv w:val="1"/>
      <w:marLeft w:val="0"/>
      <w:marRight w:val="0"/>
      <w:marTop w:val="0"/>
      <w:marBottom w:val="0"/>
      <w:divBdr>
        <w:top w:val="none" w:sz="0" w:space="0" w:color="auto"/>
        <w:left w:val="none" w:sz="0" w:space="0" w:color="auto"/>
        <w:bottom w:val="none" w:sz="0" w:space="0" w:color="auto"/>
        <w:right w:val="none" w:sz="0" w:space="0" w:color="auto"/>
      </w:divBdr>
    </w:div>
    <w:div w:id="1207764384">
      <w:bodyDiv w:val="1"/>
      <w:marLeft w:val="0"/>
      <w:marRight w:val="0"/>
      <w:marTop w:val="0"/>
      <w:marBottom w:val="0"/>
      <w:divBdr>
        <w:top w:val="none" w:sz="0" w:space="0" w:color="auto"/>
        <w:left w:val="none" w:sz="0" w:space="0" w:color="auto"/>
        <w:bottom w:val="none" w:sz="0" w:space="0" w:color="auto"/>
        <w:right w:val="none" w:sz="0" w:space="0" w:color="auto"/>
      </w:divBdr>
      <w:divsChild>
        <w:div w:id="1427506405">
          <w:marLeft w:val="274"/>
          <w:marRight w:val="0"/>
          <w:marTop w:val="0"/>
          <w:marBottom w:val="0"/>
          <w:divBdr>
            <w:top w:val="none" w:sz="0" w:space="0" w:color="auto"/>
            <w:left w:val="none" w:sz="0" w:space="0" w:color="auto"/>
            <w:bottom w:val="none" w:sz="0" w:space="0" w:color="auto"/>
            <w:right w:val="none" w:sz="0" w:space="0" w:color="auto"/>
          </w:divBdr>
        </w:div>
      </w:divsChild>
    </w:div>
    <w:div w:id="1208446315">
      <w:bodyDiv w:val="1"/>
      <w:marLeft w:val="0"/>
      <w:marRight w:val="0"/>
      <w:marTop w:val="0"/>
      <w:marBottom w:val="0"/>
      <w:divBdr>
        <w:top w:val="none" w:sz="0" w:space="0" w:color="auto"/>
        <w:left w:val="none" w:sz="0" w:space="0" w:color="auto"/>
        <w:bottom w:val="none" w:sz="0" w:space="0" w:color="auto"/>
        <w:right w:val="none" w:sz="0" w:space="0" w:color="auto"/>
      </w:divBdr>
    </w:div>
    <w:div w:id="1222059185">
      <w:bodyDiv w:val="1"/>
      <w:marLeft w:val="0"/>
      <w:marRight w:val="0"/>
      <w:marTop w:val="0"/>
      <w:marBottom w:val="0"/>
      <w:divBdr>
        <w:top w:val="none" w:sz="0" w:space="0" w:color="auto"/>
        <w:left w:val="none" w:sz="0" w:space="0" w:color="auto"/>
        <w:bottom w:val="none" w:sz="0" w:space="0" w:color="auto"/>
        <w:right w:val="none" w:sz="0" w:space="0" w:color="auto"/>
      </w:divBdr>
    </w:div>
    <w:div w:id="1222792200">
      <w:bodyDiv w:val="1"/>
      <w:marLeft w:val="0"/>
      <w:marRight w:val="0"/>
      <w:marTop w:val="0"/>
      <w:marBottom w:val="0"/>
      <w:divBdr>
        <w:top w:val="none" w:sz="0" w:space="0" w:color="auto"/>
        <w:left w:val="none" w:sz="0" w:space="0" w:color="auto"/>
        <w:bottom w:val="none" w:sz="0" w:space="0" w:color="auto"/>
        <w:right w:val="none" w:sz="0" w:space="0" w:color="auto"/>
      </w:divBdr>
    </w:div>
    <w:div w:id="1227959787">
      <w:bodyDiv w:val="1"/>
      <w:marLeft w:val="0"/>
      <w:marRight w:val="0"/>
      <w:marTop w:val="0"/>
      <w:marBottom w:val="0"/>
      <w:divBdr>
        <w:top w:val="none" w:sz="0" w:space="0" w:color="auto"/>
        <w:left w:val="none" w:sz="0" w:space="0" w:color="auto"/>
        <w:bottom w:val="none" w:sz="0" w:space="0" w:color="auto"/>
        <w:right w:val="none" w:sz="0" w:space="0" w:color="auto"/>
      </w:divBdr>
    </w:div>
    <w:div w:id="1234779806">
      <w:bodyDiv w:val="1"/>
      <w:marLeft w:val="0"/>
      <w:marRight w:val="0"/>
      <w:marTop w:val="0"/>
      <w:marBottom w:val="0"/>
      <w:divBdr>
        <w:top w:val="none" w:sz="0" w:space="0" w:color="auto"/>
        <w:left w:val="none" w:sz="0" w:space="0" w:color="auto"/>
        <w:bottom w:val="none" w:sz="0" w:space="0" w:color="auto"/>
        <w:right w:val="none" w:sz="0" w:space="0" w:color="auto"/>
      </w:divBdr>
    </w:div>
    <w:div w:id="1237983510">
      <w:bodyDiv w:val="1"/>
      <w:marLeft w:val="0"/>
      <w:marRight w:val="0"/>
      <w:marTop w:val="0"/>
      <w:marBottom w:val="0"/>
      <w:divBdr>
        <w:top w:val="none" w:sz="0" w:space="0" w:color="auto"/>
        <w:left w:val="none" w:sz="0" w:space="0" w:color="auto"/>
        <w:bottom w:val="none" w:sz="0" w:space="0" w:color="auto"/>
        <w:right w:val="none" w:sz="0" w:space="0" w:color="auto"/>
      </w:divBdr>
    </w:div>
    <w:div w:id="1238132495">
      <w:bodyDiv w:val="1"/>
      <w:marLeft w:val="0"/>
      <w:marRight w:val="0"/>
      <w:marTop w:val="0"/>
      <w:marBottom w:val="0"/>
      <w:divBdr>
        <w:top w:val="none" w:sz="0" w:space="0" w:color="auto"/>
        <w:left w:val="none" w:sz="0" w:space="0" w:color="auto"/>
        <w:bottom w:val="none" w:sz="0" w:space="0" w:color="auto"/>
        <w:right w:val="none" w:sz="0" w:space="0" w:color="auto"/>
      </w:divBdr>
    </w:div>
    <w:div w:id="1241448928">
      <w:bodyDiv w:val="1"/>
      <w:marLeft w:val="0"/>
      <w:marRight w:val="0"/>
      <w:marTop w:val="0"/>
      <w:marBottom w:val="0"/>
      <w:divBdr>
        <w:top w:val="none" w:sz="0" w:space="0" w:color="auto"/>
        <w:left w:val="none" w:sz="0" w:space="0" w:color="auto"/>
        <w:bottom w:val="none" w:sz="0" w:space="0" w:color="auto"/>
        <w:right w:val="none" w:sz="0" w:space="0" w:color="auto"/>
      </w:divBdr>
    </w:div>
    <w:div w:id="1245147297">
      <w:bodyDiv w:val="1"/>
      <w:marLeft w:val="0"/>
      <w:marRight w:val="0"/>
      <w:marTop w:val="0"/>
      <w:marBottom w:val="0"/>
      <w:divBdr>
        <w:top w:val="none" w:sz="0" w:space="0" w:color="auto"/>
        <w:left w:val="none" w:sz="0" w:space="0" w:color="auto"/>
        <w:bottom w:val="none" w:sz="0" w:space="0" w:color="auto"/>
        <w:right w:val="none" w:sz="0" w:space="0" w:color="auto"/>
      </w:divBdr>
    </w:div>
    <w:div w:id="1256355077">
      <w:bodyDiv w:val="1"/>
      <w:marLeft w:val="0"/>
      <w:marRight w:val="0"/>
      <w:marTop w:val="0"/>
      <w:marBottom w:val="0"/>
      <w:divBdr>
        <w:top w:val="none" w:sz="0" w:space="0" w:color="auto"/>
        <w:left w:val="none" w:sz="0" w:space="0" w:color="auto"/>
        <w:bottom w:val="none" w:sz="0" w:space="0" w:color="auto"/>
        <w:right w:val="none" w:sz="0" w:space="0" w:color="auto"/>
      </w:divBdr>
    </w:div>
    <w:div w:id="1266579115">
      <w:bodyDiv w:val="1"/>
      <w:marLeft w:val="0"/>
      <w:marRight w:val="0"/>
      <w:marTop w:val="0"/>
      <w:marBottom w:val="0"/>
      <w:divBdr>
        <w:top w:val="none" w:sz="0" w:space="0" w:color="auto"/>
        <w:left w:val="none" w:sz="0" w:space="0" w:color="auto"/>
        <w:bottom w:val="none" w:sz="0" w:space="0" w:color="auto"/>
        <w:right w:val="none" w:sz="0" w:space="0" w:color="auto"/>
      </w:divBdr>
    </w:div>
    <w:div w:id="1269047270">
      <w:bodyDiv w:val="1"/>
      <w:marLeft w:val="0"/>
      <w:marRight w:val="0"/>
      <w:marTop w:val="0"/>
      <w:marBottom w:val="0"/>
      <w:divBdr>
        <w:top w:val="none" w:sz="0" w:space="0" w:color="auto"/>
        <w:left w:val="none" w:sz="0" w:space="0" w:color="auto"/>
        <w:bottom w:val="none" w:sz="0" w:space="0" w:color="auto"/>
        <w:right w:val="none" w:sz="0" w:space="0" w:color="auto"/>
      </w:divBdr>
    </w:div>
    <w:div w:id="1270964988">
      <w:bodyDiv w:val="1"/>
      <w:marLeft w:val="0"/>
      <w:marRight w:val="0"/>
      <w:marTop w:val="0"/>
      <w:marBottom w:val="0"/>
      <w:divBdr>
        <w:top w:val="none" w:sz="0" w:space="0" w:color="auto"/>
        <w:left w:val="none" w:sz="0" w:space="0" w:color="auto"/>
        <w:bottom w:val="none" w:sz="0" w:space="0" w:color="auto"/>
        <w:right w:val="none" w:sz="0" w:space="0" w:color="auto"/>
      </w:divBdr>
    </w:div>
    <w:div w:id="1271666144">
      <w:bodyDiv w:val="1"/>
      <w:marLeft w:val="0"/>
      <w:marRight w:val="0"/>
      <w:marTop w:val="0"/>
      <w:marBottom w:val="0"/>
      <w:divBdr>
        <w:top w:val="none" w:sz="0" w:space="0" w:color="auto"/>
        <w:left w:val="none" w:sz="0" w:space="0" w:color="auto"/>
        <w:bottom w:val="none" w:sz="0" w:space="0" w:color="auto"/>
        <w:right w:val="none" w:sz="0" w:space="0" w:color="auto"/>
      </w:divBdr>
    </w:div>
    <w:div w:id="1278751531">
      <w:bodyDiv w:val="1"/>
      <w:marLeft w:val="0"/>
      <w:marRight w:val="0"/>
      <w:marTop w:val="0"/>
      <w:marBottom w:val="0"/>
      <w:divBdr>
        <w:top w:val="none" w:sz="0" w:space="0" w:color="auto"/>
        <w:left w:val="none" w:sz="0" w:space="0" w:color="auto"/>
        <w:bottom w:val="none" w:sz="0" w:space="0" w:color="auto"/>
        <w:right w:val="none" w:sz="0" w:space="0" w:color="auto"/>
      </w:divBdr>
    </w:div>
    <w:div w:id="1284993673">
      <w:bodyDiv w:val="1"/>
      <w:marLeft w:val="0"/>
      <w:marRight w:val="0"/>
      <w:marTop w:val="0"/>
      <w:marBottom w:val="0"/>
      <w:divBdr>
        <w:top w:val="none" w:sz="0" w:space="0" w:color="auto"/>
        <w:left w:val="none" w:sz="0" w:space="0" w:color="auto"/>
        <w:bottom w:val="none" w:sz="0" w:space="0" w:color="auto"/>
        <w:right w:val="none" w:sz="0" w:space="0" w:color="auto"/>
      </w:divBdr>
    </w:div>
    <w:div w:id="1290937845">
      <w:bodyDiv w:val="1"/>
      <w:marLeft w:val="0"/>
      <w:marRight w:val="0"/>
      <w:marTop w:val="0"/>
      <w:marBottom w:val="0"/>
      <w:divBdr>
        <w:top w:val="none" w:sz="0" w:space="0" w:color="auto"/>
        <w:left w:val="none" w:sz="0" w:space="0" w:color="auto"/>
        <w:bottom w:val="none" w:sz="0" w:space="0" w:color="auto"/>
        <w:right w:val="none" w:sz="0" w:space="0" w:color="auto"/>
      </w:divBdr>
    </w:div>
    <w:div w:id="1307199738">
      <w:bodyDiv w:val="1"/>
      <w:marLeft w:val="0"/>
      <w:marRight w:val="0"/>
      <w:marTop w:val="0"/>
      <w:marBottom w:val="0"/>
      <w:divBdr>
        <w:top w:val="none" w:sz="0" w:space="0" w:color="auto"/>
        <w:left w:val="none" w:sz="0" w:space="0" w:color="auto"/>
        <w:bottom w:val="none" w:sz="0" w:space="0" w:color="auto"/>
        <w:right w:val="none" w:sz="0" w:space="0" w:color="auto"/>
      </w:divBdr>
    </w:div>
    <w:div w:id="1315986634">
      <w:bodyDiv w:val="1"/>
      <w:marLeft w:val="0"/>
      <w:marRight w:val="0"/>
      <w:marTop w:val="0"/>
      <w:marBottom w:val="0"/>
      <w:divBdr>
        <w:top w:val="none" w:sz="0" w:space="0" w:color="auto"/>
        <w:left w:val="none" w:sz="0" w:space="0" w:color="auto"/>
        <w:bottom w:val="none" w:sz="0" w:space="0" w:color="auto"/>
        <w:right w:val="none" w:sz="0" w:space="0" w:color="auto"/>
      </w:divBdr>
    </w:div>
    <w:div w:id="1317802206">
      <w:bodyDiv w:val="1"/>
      <w:marLeft w:val="0"/>
      <w:marRight w:val="0"/>
      <w:marTop w:val="0"/>
      <w:marBottom w:val="0"/>
      <w:divBdr>
        <w:top w:val="none" w:sz="0" w:space="0" w:color="auto"/>
        <w:left w:val="none" w:sz="0" w:space="0" w:color="auto"/>
        <w:bottom w:val="none" w:sz="0" w:space="0" w:color="auto"/>
        <w:right w:val="none" w:sz="0" w:space="0" w:color="auto"/>
      </w:divBdr>
    </w:div>
    <w:div w:id="1324117374">
      <w:bodyDiv w:val="1"/>
      <w:marLeft w:val="0"/>
      <w:marRight w:val="0"/>
      <w:marTop w:val="0"/>
      <w:marBottom w:val="0"/>
      <w:divBdr>
        <w:top w:val="none" w:sz="0" w:space="0" w:color="auto"/>
        <w:left w:val="none" w:sz="0" w:space="0" w:color="auto"/>
        <w:bottom w:val="none" w:sz="0" w:space="0" w:color="auto"/>
        <w:right w:val="none" w:sz="0" w:space="0" w:color="auto"/>
      </w:divBdr>
    </w:div>
    <w:div w:id="1346202786">
      <w:bodyDiv w:val="1"/>
      <w:marLeft w:val="0"/>
      <w:marRight w:val="0"/>
      <w:marTop w:val="0"/>
      <w:marBottom w:val="0"/>
      <w:divBdr>
        <w:top w:val="none" w:sz="0" w:space="0" w:color="auto"/>
        <w:left w:val="none" w:sz="0" w:space="0" w:color="auto"/>
        <w:bottom w:val="none" w:sz="0" w:space="0" w:color="auto"/>
        <w:right w:val="none" w:sz="0" w:space="0" w:color="auto"/>
      </w:divBdr>
    </w:div>
    <w:div w:id="1355038936">
      <w:bodyDiv w:val="1"/>
      <w:marLeft w:val="0"/>
      <w:marRight w:val="0"/>
      <w:marTop w:val="0"/>
      <w:marBottom w:val="0"/>
      <w:divBdr>
        <w:top w:val="none" w:sz="0" w:space="0" w:color="auto"/>
        <w:left w:val="none" w:sz="0" w:space="0" w:color="auto"/>
        <w:bottom w:val="none" w:sz="0" w:space="0" w:color="auto"/>
        <w:right w:val="none" w:sz="0" w:space="0" w:color="auto"/>
      </w:divBdr>
      <w:divsChild>
        <w:div w:id="597297514">
          <w:marLeft w:val="720"/>
          <w:marRight w:val="0"/>
          <w:marTop w:val="0"/>
          <w:marBottom w:val="0"/>
          <w:divBdr>
            <w:top w:val="none" w:sz="0" w:space="0" w:color="auto"/>
            <w:left w:val="none" w:sz="0" w:space="0" w:color="auto"/>
            <w:bottom w:val="none" w:sz="0" w:space="0" w:color="auto"/>
            <w:right w:val="none" w:sz="0" w:space="0" w:color="auto"/>
          </w:divBdr>
        </w:div>
        <w:div w:id="1857695663">
          <w:marLeft w:val="2160"/>
          <w:marRight w:val="0"/>
          <w:marTop w:val="0"/>
          <w:marBottom w:val="0"/>
          <w:divBdr>
            <w:top w:val="none" w:sz="0" w:space="0" w:color="auto"/>
            <w:left w:val="none" w:sz="0" w:space="0" w:color="auto"/>
            <w:bottom w:val="none" w:sz="0" w:space="0" w:color="auto"/>
            <w:right w:val="none" w:sz="0" w:space="0" w:color="auto"/>
          </w:divBdr>
        </w:div>
      </w:divsChild>
    </w:div>
    <w:div w:id="1361013321">
      <w:bodyDiv w:val="1"/>
      <w:marLeft w:val="0"/>
      <w:marRight w:val="0"/>
      <w:marTop w:val="0"/>
      <w:marBottom w:val="0"/>
      <w:divBdr>
        <w:top w:val="none" w:sz="0" w:space="0" w:color="auto"/>
        <w:left w:val="none" w:sz="0" w:space="0" w:color="auto"/>
        <w:bottom w:val="none" w:sz="0" w:space="0" w:color="auto"/>
        <w:right w:val="none" w:sz="0" w:space="0" w:color="auto"/>
      </w:divBdr>
      <w:divsChild>
        <w:div w:id="433938604">
          <w:marLeft w:val="274"/>
          <w:marRight w:val="0"/>
          <w:marTop w:val="0"/>
          <w:marBottom w:val="0"/>
          <w:divBdr>
            <w:top w:val="none" w:sz="0" w:space="0" w:color="auto"/>
            <w:left w:val="none" w:sz="0" w:space="0" w:color="auto"/>
            <w:bottom w:val="none" w:sz="0" w:space="0" w:color="auto"/>
            <w:right w:val="none" w:sz="0" w:space="0" w:color="auto"/>
          </w:divBdr>
        </w:div>
      </w:divsChild>
    </w:div>
    <w:div w:id="1364019859">
      <w:bodyDiv w:val="1"/>
      <w:marLeft w:val="0"/>
      <w:marRight w:val="0"/>
      <w:marTop w:val="0"/>
      <w:marBottom w:val="0"/>
      <w:divBdr>
        <w:top w:val="none" w:sz="0" w:space="0" w:color="auto"/>
        <w:left w:val="none" w:sz="0" w:space="0" w:color="auto"/>
        <w:bottom w:val="none" w:sz="0" w:space="0" w:color="auto"/>
        <w:right w:val="none" w:sz="0" w:space="0" w:color="auto"/>
      </w:divBdr>
      <w:divsChild>
        <w:div w:id="249242215">
          <w:marLeft w:val="274"/>
          <w:marRight w:val="0"/>
          <w:marTop w:val="0"/>
          <w:marBottom w:val="0"/>
          <w:divBdr>
            <w:top w:val="none" w:sz="0" w:space="0" w:color="auto"/>
            <w:left w:val="none" w:sz="0" w:space="0" w:color="auto"/>
            <w:bottom w:val="none" w:sz="0" w:space="0" w:color="auto"/>
            <w:right w:val="none" w:sz="0" w:space="0" w:color="auto"/>
          </w:divBdr>
        </w:div>
      </w:divsChild>
    </w:div>
    <w:div w:id="1373194049">
      <w:bodyDiv w:val="1"/>
      <w:marLeft w:val="0"/>
      <w:marRight w:val="0"/>
      <w:marTop w:val="0"/>
      <w:marBottom w:val="0"/>
      <w:divBdr>
        <w:top w:val="none" w:sz="0" w:space="0" w:color="auto"/>
        <w:left w:val="none" w:sz="0" w:space="0" w:color="auto"/>
        <w:bottom w:val="none" w:sz="0" w:space="0" w:color="auto"/>
        <w:right w:val="none" w:sz="0" w:space="0" w:color="auto"/>
      </w:divBdr>
    </w:div>
    <w:div w:id="1378580643">
      <w:bodyDiv w:val="1"/>
      <w:marLeft w:val="0"/>
      <w:marRight w:val="0"/>
      <w:marTop w:val="0"/>
      <w:marBottom w:val="0"/>
      <w:divBdr>
        <w:top w:val="none" w:sz="0" w:space="0" w:color="auto"/>
        <w:left w:val="none" w:sz="0" w:space="0" w:color="auto"/>
        <w:bottom w:val="none" w:sz="0" w:space="0" w:color="auto"/>
        <w:right w:val="none" w:sz="0" w:space="0" w:color="auto"/>
      </w:divBdr>
    </w:div>
    <w:div w:id="1382825986">
      <w:bodyDiv w:val="1"/>
      <w:marLeft w:val="0"/>
      <w:marRight w:val="0"/>
      <w:marTop w:val="0"/>
      <w:marBottom w:val="0"/>
      <w:divBdr>
        <w:top w:val="none" w:sz="0" w:space="0" w:color="auto"/>
        <w:left w:val="none" w:sz="0" w:space="0" w:color="auto"/>
        <w:bottom w:val="none" w:sz="0" w:space="0" w:color="auto"/>
        <w:right w:val="none" w:sz="0" w:space="0" w:color="auto"/>
      </w:divBdr>
    </w:div>
    <w:div w:id="1409694083">
      <w:bodyDiv w:val="1"/>
      <w:marLeft w:val="0"/>
      <w:marRight w:val="0"/>
      <w:marTop w:val="0"/>
      <w:marBottom w:val="0"/>
      <w:divBdr>
        <w:top w:val="none" w:sz="0" w:space="0" w:color="auto"/>
        <w:left w:val="none" w:sz="0" w:space="0" w:color="auto"/>
        <w:bottom w:val="none" w:sz="0" w:space="0" w:color="auto"/>
        <w:right w:val="none" w:sz="0" w:space="0" w:color="auto"/>
      </w:divBdr>
    </w:div>
    <w:div w:id="1431588639">
      <w:bodyDiv w:val="1"/>
      <w:marLeft w:val="0"/>
      <w:marRight w:val="0"/>
      <w:marTop w:val="0"/>
      <w:marBottom w:val="0"/>
      <w:divBdr>
        <w:top w:val="none" w:sz="0" w:space="0" w:color="auto"/>
        <w:left w:val="none" w:sz="0" w:space="0" w:color="auto"/>
        <w:bottom w:val="none" w:sz="0" w:space="0" w:color="auto"/>
        <w:right w:val="none" w:sz="0" w:space="0" w:color="auto"/>
      </w:divBdr>
    </w:div>
    <w:div w:id="1432432952">
      <w:bodyDiv w:val="1"/>
      <w:marLeft w:val="0"/>
      <w:marRight w:val="0"/>
      <w:marTop w:val="0"/>
      <w:marBottom w:val="0"/>
      <w:divBdr>
        <w:top w:val="none" w:sz="0" w:space="0" w:color="auto"/>
        <w:left w:val="none" w:sz="0" w:space="0" w:color="auto"/>
        <w:bottom w:val="none" w:sz="0" w:space="0" w:color="auto"/>
        <w:right w:val="none" w:sz="0" w:space="0" w:color="auto"/>
      </w:divBdr>
    </w:div>
    <w:div w:id="1435713750">
      <w:bodyDiv w:val="1"/>
      <w:marLeft w:val="0"/>
      <w:marRight w:val="0"/>
      <w:marTop w:val="0"/>
      <w:marBottom w:val="0"/>
      <w:divBdr>
        <w:top w:val="none" w:sz="0" w:space="0" w:color="auto"/>
        <w:left w:val="none" w:sz="0" w:space="0" w:color="auto"/>
        <w:bottom w:val="none" w:sz="0" w:space="0" w:color="auto"/>
        <w:right w:val="none" w:sz="0" w:space="0" w:color="auto"/>
      </w:divBdr>
    </w:div>
    <w:div w:id="1472939600">
      <w:bodyDiv w:val="1"/>
      <w:marLeft w:val="0"/>
      <w:marRight w:val="0"/>
      <w:marTop w:val="0"/>
      <w:marBottom w:val="0"/>
      <w:divBdr>
        <w:top w:val="none" w:sz="0" w:space="0" w:color="auto"/>
        <w:left w:val="none" w:sz="0" w:space="0" w:color="auto"/>
        <w:bottom w:val="none" w:sz="0" w:space="0" w:color="auto"/>
        <w:right w:val="none" w:sz="0" w:space="0" w:color="auto"/>
      </w:divBdr>
    </w:div>
    <w:div w:id="1477645385">
      <w:bodyDiv w:val="1"/>
      <w:marLeft w:val="0"/>
      <w:marRight w:val="0"/>
      <w:marTop w:val="0"/>
      <w:marBottom w:val="0"/>
      <w:divBdr>
        <w:top w:val="none" w:sz="0" w:space="0" w:color="auto"/>
        <w:left w:val="none" w:sz="0" w:space="0" w:color="auto"/>
        <w:bottom w:val="none" w:sz="0" w:space="0" w:color="auto"/>
        <w:right w:val="none" w:sz="0" w:space="0" w:color="auto"/>
      </w:divBdr>
      <w:divsChild>
        <w:div w:id="1397703224">
          <w:marLeft w:val="187"/>
          <w:marRight w:val="0"/>
          <w:marTop w:val="0"/>
          <w:marBottom w:val="0"/>
          <w:divBdr>
            <w:top w:val="none" w:sz="0" w:space="0" w:color="auto"/>
            <w:left w:val="none" w:sz="0" w:space="0" w:color="auto"/>
            <w:bottom w:val="none" w:sz="0" w:space="0" w:color="auto"/>
            <w:right w:val="none" w:sz="0" w:space="0" w:color="auto"/>
          </w:divBdr>
        </w:div>
        <w:div w:id="1679963372">
          <w:marLeft w:val="187"/>
          <w:marRight w:val="0"/>
          <w:marTop w:val="36"/>
          <w:marBottom w:val="0"/>
          <w:divBdr>
            <w:top w:val="none" w:sz="0" w:space="0" w:color="auto"/>
            <w:left w:val="none" w:sz="0" w:space="0" w:color="auto"/>
            <w:bottom w:val="none" w:sz="0" w:space="0" w:color="auto"/>
            <w:right w:val="none" w:sz="0" w:space="0" w:color="auto"/>
          </w:divBdr>
        </w:div>
      </w:divsChild>
    </w:div>
    <w:div w:id="1495487166">
      <w:bodyDiv w:val="1"/>
      <w:marLeft w:val="0"/>
      <w:marRight w:val="0"/>
      <w:marTop w:val="0"/>
      <w:marBottom w:val="0"/>
      <w:divBdr>
        <w:top w:val="none" w:sz="0" w:space="0" w:color="auto"/>
        <w:left w:val="none" w:sz="0" w:space="0" w:color="auto"/>
        <w:bottom w:val="none" w:sz="0" w:space="0" w:color="auto"/>
        <w:right w:val="none" w:sz="0" w:space="0" w:color="auto"/>
      </w:divBdr>
    </w:div>
    <w:div w:id="1502508798">
      <w:bodyDiv w:val="1"/>
      <w:marLeft w:val="0"/>
      <w:marRight w:val="0"/>
      <w:marTop w:val="0"/>
      <w:marBottom w:val="0"/>
      <w:divBdr>
        <w:top w:val="none" w:sz="0" w:space="0" w:color="auto"/>
        <w:left w:val="none" w:sz="0" w:space="0" w:color="auto"/>
        <w:bottom w:val="none" w:sz="0" w:space="0" w:color="auto"/>
        <w:right w:val="none" w:sz="0" w:space="0" w:color="auto"/>
      </w:divBdr>
    </w:div>
    <w:div w:id="1519150493">
      <w:bodyDiv w:val="1"/>
      <w:marLeft w:val="0"/>
      <w:marRight w:val="0"/>
      <w:marTop w:val="0"/>
      <w:marBottom w:val="0"/>
      <w:divBdr>
        <w:top w:val="none" w:sz="0" w:space="0" w:color="auto"/>
        <w:left w:val="none" w:sz="0" w:space="0" w:color="auto"/>
        <w:bottom w:val="none" w:sz="0" w:space="0" w:color="auto"/>
        <w:right w:val="none" w:sz="0" w:space="0" w:color="auto"/>
      </w:divBdr>
    </w:div>
    <w:div w:id="1526672845">
      <w:bodyDiv w:val="1"/>
      <w:marLeft w:val="0"/>
      <w:marRight w:val="0"/>
      <w:marTop w:val="0"/>
      <w:marBottom w:val="0"/>
      <w:divBdr>
        <w:top w:val="none" w:sz="0" w:space="0" w:color="auto"/>
        <w:left w:val="none" w:sz="0" w:space="0" w:color="auto"/>
        <w:bottom w:val="none" w:sz="0" w:space="0" w:color="auto"/>
        <w:right w:val="none" w:sz="0" w:space="0" w:color="auto"/>
      </w:divBdr>
    </w:div>
    <w:div w:id="1535195843">
      <w:bodyDiv w:val="1"/>
      <w:marLeft w:val="0"/>
      <w:marRight w:val="0"/>
      <w:marTop w:val="0"/>
      <w:marBottom w:val="0"/>
      <w:divBdr>
        <w:top w:val="none" w:sz="0" w:space="0" w:color="auto"/>
        <w:left w:val="none" w:sz="0" w:space="0" w:color="auto"/>
        <w:bottom w:val="none" w:sz="0" w:space="0" w:color="auto"/>
        <w:right w:val="none" w:sz="0" w:space="0" w:color="auto"/>
      </w:divBdr>
      <w:divsChild>
        <w:div w:id="298154265">
          <w:marLeft w:val="720"/>
          <w:marRight w:val="0"/>
          <w:marTop w:val="0"/>
          <w:marBottom w:val="0"/>
          <w:divBdr>
            <w:top w:val="none" w:sz="0" w:space="0" w:color="auto"/>
            <w:left w:val="none" w:sz="0" w:space="0" w:color="auto"/>
            <w:bottom w:val="none" w:sz="0" w:space="0" w:color="auto"/>
            <w:right w:val="none" w:sz="0" w:space="0" w:color="auto"/>
          </w:divBdr>
        </w:div>
        <w:div w:id="1843857018">
          <w:marLeft w:val="720"/>
          <w:marRight w:val="0"/>
          <w:marTop w:val="80"/>
          <w:marBottom w:val="0"/>
          <w:divBdr>
            <w:top w:val="none" w:sz="0" w:space="0" w:color="auto"/>
            <w:left w:val="none" w:sz="0" w:space="0" w:color="auto"/>
            <w:bottom w:val="none" w:sz="0" w:space="0" w:color="auto"/>
            <w:right w:val="none" w:sz="0" w:space="0" w:color="auto"/>
          </w:divBdr>
        </w:div>
        <w:div w:id="465124924">
          <w:marLeft w:val="720"/>
          <w:marRight w:val="0"/>
          <w:marTop w:val="80"/>
          <w:marBottom w:val="0"/>
          <w:divBdr>
            <w:top w:val="none" w:sz="0" w:space="0" w:color="auto"/>
            <w:left w:val="none" w:sz="0" w:space="0" w:color="auto"/>
            <w:bottom w:val="none" w:sz="0" w:space="0" w:color="auto"/>
            <w:right w:val="none" w:sz="0" w:space="0" w:color="auto"/>
          </w:divBdr>
        </w:div>
        <w:div w:id="178202017">
          <w:marLeft w:val="720"/>
          <w:marRight w:val="0"/>
          <w:marTop w:val="80"/>
          <w:marBottom w:val="0"/>
          <w:divBdr>
            <w:top w:val="none" w:sz="0" w:space="0" w:color="auto"/>
            <w:left w:val="none" w:sz="0" w:space="0" w:color="auto"/>
            <w:bottom w:val="none" w:sz="0" w:space="0" w:color="auto"/>
            <w:right w:val="none" w:sz="0" w:space="0" w:color="auto"/>
          </w:divBdr>
        </w:div>
        <w:div w:id="804548541">
          <w:marLeft w:val="720"/>
          <w:marRight w:val="0"/>
          <w:marTop w:val="80"/>
          <w:marBottom w:val="0"/>
          <w:divBdr>
            <w:top w:val="none" w:sz="0" w:space="0" w:color="auto"/>
            <w:left w:val="none" w:sz="0" w:space="0" w:color="auto"/>
            <w:bottom w:val="none" w:sz="0" w:space="0" w:color="auto"/>
            <w:right w:val="none" w:sz="0" w:space="0" w:color="auto"/>
          </w:divBdr>
        </w:div>
      </w:divsChild>
    </w:div>
    <w:div w:id="1538663772">
      <w:bodyDiv w:val="1"/>
      <w:marLeft w:val="0"/>
      <w:marRight w:val="0"/>
      <w:marTop w:val="0"/>
      <w:marBottom w:val="0"/>
      <w:divBdr>
        <w:top w:val="none" w:sz="0" w:space="0" w:color="auto"/>
        <w:left w:val="none" w:sz="0" w:space="0" w:color="auto"/>
        <w:bottom w:val="none" w:sz="0" w:space="0" w:color="auto"/>
        <w:right w:val="none" w:sz="0" w:space="0" w:color="auto"/>
      </w:divBdr>
    </w:div>
    <w:div w:id="1548254352">
      <w:bodyDiv w:val="1"/>
      <w:marLeft w:val="0"/>
      <w:marRight w:val="0"/>
      <w:marTop w:val="0"/>
      <w:marBottom w:val="0"/>
      <w:divBdr>
        <w:top w:val="none" w:sz="0" w:space="0" w:color="auto"/>
        <w:left w:val="none" w:sz="0" w:space="0" w:color="auto"/>
        <w:bottom w:val="none" w:sz="0" w:space="0" w:color="auto"/>
        <w:right w:val="none" w:sz="0" w:space="0" w:color="auto"/>
      </w:divBdr>
    </w:div>
    <w:div w:id="1560164555">
      <w:bodyDiv w:val="1"/>
      <w:marLeft w:val="0"/>
      <w:marRight w:val="0"/>
      <w:marTop w:val="0"/>
      <w:marBottom w:val="0"/>
      <w:divBdr>
        <w:top w:val="none" w:sz="0" w:space="0" w:color="auto"/>
        <w:left w:val="none" w:sz="0" w:space="0" w:color="auto"/>
        <w:bottom w:val="none" w:sz="0" w:space="0" w:color="auto"/>
        <w:right w:val="none" w:sz="0" w:space="0" w:color="auto"/>
      </w:divBdr>
    </w:div>
    <w:div w:id="1563831900">
      <w:bodyDiv w:val="1"/>
      <w:marLeft w:val="0"/>
      <w:marRight w:val="0"/>
      <w:marTop w:val="0"/>
      <w:marBottom w:val="0"/>
      <w:divBdr>
        <w:top w:val="none" w:sz="0" w:space="0" w:color="auto"/>
        <w:left w:val="none" w:sz="0" w:space="0" w:color="auto"/>
        <w:bottom w:val="none" w:sz="0" w:space="0" w:color="auto"/>
        <w:right w:val="none" w:sz="0" w:space="0" w:color="auto"/>
      </w:divBdr>
    </w:div>
    <w:div w:id="1566989513">
      <w:bodyDiv w:val="1"/>
      <w:marLeft w:val="0"/>
      <w:marRight w:val="0"/>
      <w:marTop w:val="0"/>
      <w:marBottom w:val="0"/>
      <w:divBdr>
        <w:top w:val="none" w:sz="0" w:space="0" w:color="auto"/>
        <w:left w:val="none" w:sz="0" w:space="0" w:color="auto"/>
        <w:bottom w:val="none" w:sz="0" w:space="0" w:color="auto"/>
        <w:right w:val="none" w:sz="0" w:space="0" w:color="auto"/>
      </w:divBdr>
    </w:div>
    <w:div w:id="1572035779">
      <w:bodyDiv w:val="1"/>
      <w:marLeft w:val="0"/>
      <w:marRight w:val="0"/>
      <w:marTop w:val="0"/>
      <w:marBottom w:val="0"/>
      <w:divBdr>
        <w:top w:val="none" w:sz="0" w:space="0" w:color="auto"/>
        <w:left w:val="none" w:sz="0" w:space="0" w:color="auto"/>
        <w:bottom w:val="none" w:sz="0" w:space="0" w:color="auto"/>
        <w:right w:val="none" w:sz="0" w:space="0" w:color="auto"/>
      </w:divBdr>
    </w:div>
    <w:div w:id="1575093182">
      <w:bodyDiv w:val="1"/>
      <w:marLeft w:val="0"/>
      <w:marRight w:val="0"/>
      <w:marTop w:val="0"/>
      <w:marBottom w:val="0"/>
      <w:divBdr>
        <w:top w:val="none" w:sz="0" w:space="0" w:color="auto"/>
        <w:left w:val="none" w:sz="0" w:space="0" w:color="auto"/>
        <w:bottom w:val="none" w:sz="0" w:space="0" w:color="auto"/>
        <w:right w:val="none" w:sz="0" w:space="0" w:color="auto"/>
      </w:divBdr>
    </w:div>
    <w:div w:id="1581864685">
      <w:bodyDiv w:val="1"/>
      <w:marLeft w:val="0"/>
      <w:marRight w:val="0"/>
      <w:marTop w:val="0"/>
      <w:marBottom w:val="0"/>
      <w:divBdr>
        <w:top w:val="none" w:sz="0" w:space="0" w:color="auto"/>
        <w:left w:val="none" w:sz="0" w:space="0" w:color="auto"/>
        <w:bottom w:val="none" w:sz="0" w:space="0" w:color="auto"/>
        <w:right w:val="none" w:sz="0" w:space="0" w:color="auto"/>
      </w:divBdr>
    </w:div>
    <w:div w:id="1587768040">
      <w:bodyDiv w:val="1"/>
      <w:marLeft w:val="0"/>
      <w:marRight w:val="0"/>
      <w:marTop w:val="0"/>
      <w:marBottom w:val="0"/>
      <w:divBdr>
        <w:top w:val="none" w:sz="0" w:space="0" w:color="auto"/>
        <w:left w:val="none" w:sz="0" w:space="0" w:color="auto"/>
        <w:bottom w:val="none" w:sz="0" w:space="0" w:color="auto"/>
        <w:right w:val="none" w:sz="0" w:space="0" w:color="auto"/>
      </w:divBdr>
    </w:div>
    <w:div w:id="1591499343">
      <w:bodyDiv w:val="1"/>
      <w:marLeft w:val="0"/>
      <w:marRight w:val="0"/>
      <w:marTop w:val="0"/>
      <w:marBottom w:val="0"/>
      <w:divBdr>
        <w:top w:val="none" w:sz="0" w:space="0" w:color="auto"/>
        <w:left w:val="none" w:sz="0" w:space="0" w:color="auto"/>
        <w:bottom w:val="none" w:sz="0" w:space="0" w:color="auto"/>
        <w:right w:val="none" w:sz="0" w:space="0" w:color="auto"/>
      </w:divBdr>
    </w:div>
    <w:div w:id="1598906829">
      <w:bodyDiv w:val="1"/>
      <w:marLeft w:val="0"/>
      <w:marRight w:val="0"/>
      <w:marTop w:val="0"/>
      <w:marBottom w:val="0"/>
      <w:divBdr>
        <w:top w:val="none" w:sz="0" w:space="0" w:color="auto"/>
        <w:left w:val="none" w:sz="0" w:space="0" w:color="auto"/>
        <w:bottom w:val="none" w:sz="0" w:space="0" w:color="auto"/>
        <w:right w:val="none" w:sz="0" w:space="0" w:color="auto"/>
      </w:divBdr>
    </w:div>
    <w:div w:id="1599290352">
      <w:bodyDiv w:val="1"/>
      <w:marLeft w:val="0"/>
      <w:marRight w:val="0"/>
      <w:marTop w:val="0"/>
      <w:marBottom w:val="0"/>
      <w:divBdr>
        <w:top w:val="none" w:sz="0" w:space="0" w:color="auto"/>
        <w:left w:val="none" w:sz="0" w:space="0" w:color="auto"/>
        <w:bottom w:val="none" w:sz="0" w:space="0" w:color="auto"/>
        <w:right w:val="none" w:sz="0" w:space="0" w:color="auto"/>
      </w:divBdr>
    </w:div>
    <w:div w:id="1619602284">
      <w:bodyDiv w:val="1"/>
      <w:marLeft w:val="0"/>
      <w:marRight w:val="0"/>
      <w:marTop w:val="0"/>
      <w:marBottom w:val="0"/>
      <w:divBdr>
        <w:top w:val="none" w:sz="0" w:space="0" w:color="auto"/>
        <w:left w:val="none" w:sz="0" w:space="0" w:color="auto"/>
        <w:bottom w:val="none" w:sz="0" w:space="0" w:color="auto"/>
        <w:right w:val="none" w:sz="0" w:space="0" w:color="auto"/>
      </w:divBdr>
      <w:divsChild>
        <w:div w:id="643658649">
          <w:marLeft w:val="274"/>
          <w:marRight w:val="0"/>
          <w:marTop w:val="0"/>
          <w:marBottom w:val="0"/>
          <w:divBdr>
            <w:top w:val="none" w:sz="0" w:space="0" w:color="auto"/>
            <w:left w:val="none" w:sz="0" w:space="0" w:color="auto"/>
            <w:bottom w:val="none" w:sz="0" w:space="0" w:color="auto"/>
            <w:right w:val="none" w:sz="0" w:space="0" w:color="auto"/>
          </w:divBdr>
        </w:div>
      </w:divsChild>
    </w:div>
    <w:div w:id="1619949272">
      <w:bodyDiv w:val="1"/>
      <w:marLeft w:val="0"/>
      <w:marRight w:val="0"/>
      <w:marTop w:val="0"/>
      <w:marBottom w:val="0"/>
      <w:divBdr>
        <w:top w:val="none" w:sz="0" w:space="0" w:color="auto"/>
        <w:left w:val="none" w:sz="0" w:space="0" w:color="auto"/>
        <w:bottom w:val="none" w:sz="0" w:space="0" w:color="auto"/>
        <w:right w:val="none" w:sz="0" w:space="0" w:color="auto"/>
      </w:divBdr>
    </w:div>
    <w:div w:id="1621840397">
      <w:bodyDiv w:val="1"/>
      <w:marLeft w:val="0"/>
      <w:marRight w:val="0"/>
      <w:marTop w:val="0"/>
      <w:marBottom w:val="0"/>
      <w:divBdr>
        <w:top w:val="none" w:sz="0" w:space="0" w:color="auto"/>
        <w:left w:val="none" w:sz="0" w:space="0" w:color="auto"/>
        <w:bottom w:val="none" w:sz="0" w:space="0" w:color="auto"/>
        <w:right w:val="none" w:sz="0" w:space="0" w:color="auto"/>
      </w:divBdr>
    </w:div>
    <w:div w:id="1643584028">
      <w:bodyDiv w:val="1"/>
      <w:marLeft w:val="0"/>
      <w:marRight w:val="0"/>
      <w:marTop w:val="0"/>
      <w:marBottom w:val="0"/>
      <w:divBdr>
        <w:top w:val="none" w:sz="0" w:space="0" w:color="auto"/>
        <w:left w:val="none" w:sz="0" w:space="0" w:color="auto"/>
        <w:bottom w:val="none" w:sz="0" w:space="0" w:color="auto"/>
        <w:right w:val="none" w:sz="0" w:space="0" w:color="auto"/>
      </w:divBdr>
    </w:div>
    <w:div w:id="1652372132">
      <w:bodyDiv w:val="1"/>
      <w:marLeft w:val="0"/>
      <w:marRight w:val="0"/>
      <w:marTop w:val="0"/>
      <w:marBottom w:val="0"/>
      <w:divBdr>
        <w:top w:val="none" w:sz="0" w:space="0" w:color="auto"/>
        <w:left w:val="none" w:sz="0" w:space="0" w:color="auto"/>
        <w:bottom w:val="none" w:sz="0" w:space="0" w:color="auto"/>
        <w:right w:val="none" w:sz="0" w:space="0" w:color="auto"/>
      </w:divBdr>
    </w:div>
    <w:div w:id="1660304026">
      <w:bodyDiv w:val="1"/>
      <w:marLeft w:val="0"/>
      <w:marRight w:val="0"/>
      <w:marTop w:val="0"/>
      <w:marBottom w:val="0"/>
      <w:divBdr>
        <w:top w:val="none" w:sz="0" w:space="0" w:color="auto"/>
        <w:left w:val="none" w:sz="0" w:space="0" w:color="auto"/>
        <w:bottom w:val="none" w:sz="0" w:space="0" w:color="auto"/>
        <w:right w:val="none" w:sz="0" w:space="0" w:color="auto"/>
      </w:divBdr>
    </w:div>
    <w:div w:id="1676955706">
      <w:bodyDiv w:val="1"/>
      <w:marLeft w:val="0"/>
      <w:marRight w:val="0"/>
      <w:marTop w:val="0"/>
      <w:marBottom w:val="0"/>
      <w:divBdr>
        <w:top w:val="none" w:sz="0" w:space="0" w:color="auto"/>
        <w:left w:val="none" w:sz="0" w:space="0" w:color="auto"/>
        <w:bottom w:val="none" w:sz="0" w:space="0" w:color="auto"/>
        <w:right w:val="none" w:sz="0" w:space="0" w:color="auto"/>
      </w:divBdr>
    </w:div>
    <w:div w:id="1701272097">
      <w:bodyDiv w:val="1"/>
      <w:marLeft w:val="0"/>
      <w:marRight w:val="0"/>
      <w:marTop w:val="0"/>
      <w:marBottom w:val="0"/>
      <w:divBdr>
        <w:top w:val="none" w:sz="0" w:space="0" w:color="auto"/>
        <w:left w:val="none" w:sz="0" w:space="0" w:color="auto"/>
        <w:bottom w:val="none" w:sz="0" w:space="0" w:color="auto"/>
        <w:right w:val="none" w:sz="0" w:space="0" w:color="auto"/>
      </w:divBdr>
    </w:div>
    <w:div w:id="1707675375">
      <w:bodyDiv w:val="1"/>
      <w:marLeft w:val="0"/>
      <w:marRight w:val="0"/>
      <w:marTop w:val="0"/>
      <w:marBottom w:val="0"/>
      <w:divBdr>
        <w:top w:val="none" w:sz="0" w:space="0" w:color="auto"/>
        <w:left w:val="none" w:sz="0" w:space="0" w:color="auto"/>
        <w:bottom w:val="none" w:sz="0" w:space="0" w:color="auto"/>
        <w:right w:val="none" w:sz="0" w:space="0" w:color="auto"/>
      </w:divBdr>
    </w:div>
    <w:div w:id="1720936159">
      <w:bodyDiv w:val="1"/>
      <w:marLeft w:val="0"/>
      <w:marRight w:val="0"/>
      <w:marTop w:val="0"/>
      <w:marBottom w:val="0"/>
      <w:divBdr>
        <w:top w:val="none" w:sz="0" w:space="0" w:color="auto"/>
        <w:left w:val="none" w:sz="0" w:space="0" w:color="auto"/>
        <w:bottom w:val="none" w:sz="0" w:space="0" w:color="auto"/>
        <w:right w:val="none" w:sz="0" w:space="0" w:color="auto"/>
      </w:divBdr>
    </w:div>
    <w:div w:id="1723406330">
      <w:bodyDiv w:val="1"/>
      <w:marLeft w:val="0"/>
      <w:marRight w:val="0"/>
      <w:marTop w:val="0"/>
      <w:marBottom w:val="0"/>
      <w:divBdr>
        <w:top w:val="none" w:sz="0" w:space="0" w:color="auto"/>
        <w:left w:val="none" w:sz="0" w:space="0" w:color="auto"/>
        <w:bottom w:val="none" w:sz="0" w:space="0" w:color="auto"/>
        <w:right w:val="none" w:sz="0" w:space="0" w:color="auto"/>
      </w:divBdr>
    </w:div>
    <w:div w:id="1739864250">
      <w:bodyDiv w:val="1"/>
      <w:marLeft w:val="0"/>
      <w:marRight w:val="0"/>
      <w:marTop w:val="0"/>
      <w:marBottom w:val="0"/>
      <w:divBdr>
        <w:top w:val="none" w:sz="0" w:space="0" w:color="auto"/>
        <w:left w:val="none" w:sz="0" w:space="0" w:color="auto"/>
        <w:bottom w:val="none" w:sz="0" w:space="0" w:color="auto"/>
        <w:right w:val="none" w:sz="0" w:space="0" w:color="auto"/>
      </w:divBdr>
    </w:div>
    <w:div w:id="1743332856">
      <w:bodyDiv w:val="1"/>
      <w:marLeft w:val="0"/>
      <w:marRight w:val="0"/>
      <w:marTop w:val="0"/>
      <w:marBottom w:val="0"/>
      <w:divBdr>
        <w:top w:val="none" w:sz="0" w:space="0" w:color="auto"/>
        <w:left w:val="none" w:sz="0" w:space="0" w:color="auto"/>
        <w:bottom w:val="none" w:sz="0" w:space="0" w:color="auto"/>
        <w:right w:val="none" w:sz="0" w:space="0" w:color="auto"/>
      </w:divBdr>
    </w:div>
    <w:div w:id="1746953895">
      <w:bodyDiv w:val="1"/>
      <w:marLeft w:val="0"/>
      <w:marRight w:val="0"/>
      <w:marTop w:val="0"/>
      <w:marBottom w:val="0"/>
      <w:divBdr>
        <w:top w:val="none" w:sz="0" w:space="0" w:color="auto"/>
        <w:left w:val="none" w:sz="0" w:space="0" w:color="auto"/>
        <w:bottom w:val="none" w:sz="0" w:space="0" w:color="auto"/>
        <w:right w:val="none" w:sz="0" w:space="0" w:color="auto"/>
      </w:divBdr>
    </w:div>
    <w:div w:id="1758475937">
      <w:bodyDiv w:val="1"/>
      <w:marLeft w:val="0"/>
      <w:marRight w:val="0"/>
      <w:marTop w:val="0"/>
      <w:marBottom w:val="0"/>
      <w:divBdr>
        <w:top w:val="none" w:sz="0" w:space="0" w:color="auto"/>
        <w:left w:val="none" w:sz="0" w:space="0" w:color="auto"/>
        <w:bottom w:val="none" w:sz="0" w:space="0" w:color="auto"/>
        <w:right w:val="none" w:sz="0" w:space="0" w:color="auto"/>
      </w:divBdr>
    </w:div>
    <w:div w:id="1762406868">
      <w:bodyDiv w:val="1"/>
      <w:marLeft w:val="0"/>
      <w:marRight w:val="0"/>
      <w:marTop w:val="0"/>
      <w:marBottom w:val="0"/>
      <w:divBdr>
        <w:top w:val="none" w:sz="0" w:space="0" w:color="auto"/>
        <w:left w:val="none" w:sz="0" w:space="0" w:color="auto"/>
        <w:bottom w:val="none" w:sz="0" w:space="0" w:color="auto"/>
        <w:right w:val="none" w:sz="0" w:space="0" w:color="auto"/>
      </w:divBdr>
    </w:div>
    <w:div w:id="1781146015">
      <w:bodyDiv w:val="1"/>
      <w:marLeft w:val="0"/>
      <w:marRight w:val="0"/>
      <w:marTop w:val="0"/>
      <w:marBottom w:val="0"/>
      <w:divBdr>
        <w:top w:val="none" w:sz="0" w:space="0" w:color="auto"/>
        <w:left w:val="none" w:sz="0" w:space="0" w:color="auto"/>
        <w:bottom w:val="none" w:sz="0" w:space="0" w:color="auto"/>
        <w:right w:val="none" w:sz="0" w:space="0" w:color="auto"/>
      </w:divBdr>
    </w:div>
    <w:div w:id="1797799363">
      <w:bodyDiv w:val="1"/>
      <w:marLeft w:val="0"/>
      <w:marRight w:val="0"/>
      <w:marTop w:val="0"/>
      <w:marBottom w:val="0"/>
      <w:divBdr>
        <w:top w:val="none" w:sz="0" w:space="0" w:color="auto"/>
        <w:left w:val="none" w:sz="0" w:space="0" w:color="auto"/>
        <w:bottom w:val="none" w:sz="0" w:space="0" w:color="auto"/>
        <w:right w:val="none" w:sz="0" w:space="0" w:color="auto"/>
      </w:divBdr>
    </w:div>
    <w:div w:id="1800414306">
      <w:bodyDiv w:val="1"/>
      <w:marLeft w:val="0"/>
      <w:marRight w:val="0"/>
      <w:marTop w:val="0"/>
      <w:marBottom w:val="0"/>
      <w:divBdr>
        <w:top w:val="none" w:sz="0" w:space="0" w:color="auto"/>
        <w:left w:val="none" w:sz="0" w:space="0" w:color="auto"/>
        <w:bottom w:val="none" w:sz="0" w:space="0" w:color="auto"/>
        <w:right w:val="none" w:sz="0" w:space="0" w:color="auto"/>
      </w:divBdr>
    </w:div>
    <w:div w:id="1818566536">
      <w:bodyDiv w:val="1"/>
      <w:marLeft w:val="0"/>
      <w:marRight w:val="0"/>
      <w:marTop w:val="0"/>
      <w:marBottom w:val="0"/>
      <w:divBdr>
        <w:top w:val="none" w:sz="0" w:space="0" w:color="auto"/>
        <w:left w:val="none" w:sz="0" w:space="0" w:color="auto"/>
        <w:bottom w:val="none" w:sz="0" w:space="0" w:color="auto"/>
        <w:right w:val="none" w:sz="0" w:space="0" w:color="auto"/>
      </w:divBdr>
    </w:div>
    <w:div w:id="1834638195">
      <w:bodyDiv w:val="1"/>
      <w:marLeft w:val="0"/>
      <w:marRight w:val="0"/>
      <w:marTop w:val="0"/>
      <w:marBottom w:val="0"/>
      <w:divBdr>
        <w:top w:val="none" w:sz="0" w:space="0" w:color="auto"/>
        <w:left w:val="none" w:sz="0" w:space="0" w:color="auto"/>
        <w:bottom w:val="none" w:sz="0" w:space="0" w:color="auto"/>
        <w:right w:val="none" w:sz="0" w:space="0" w:color="auto"/>
      </w:divBdr>
    </w:div>
    <w:div w:id="1841700019">
      <w:bodyDiv w:val="1"/>
      <w:marLeft w:val="0"/>
      <w:marRight w:val="0"/>
      <w:marTop w:val="0"/>
      <w:marBottom w:val="0"/>
      <w:divBdr>
        <w:top w:val="none" w:sz="0" w:space="0" w:color="auto"/>
        <w:left w:val="none" w:sz="0" w:space="0" w:color="auto"/>
        <w:bottom w:val="none" w:sz="0" w:space="0" w:color="auto"/>
        <w:right w:val="none" w:sz="0" w:space="0" w:color="auto"/>
      </w:divBdr>
    </w:div>
    <w:div w:id="1845002056">
      <w:bodyDiv w:val="1"/>
      <w:marLeft w:val="0"/>
      <w:marRight w:val="0"/>
      <w:marTop w:val="0"/>
      <w:marBottom w:val="0"/>
      <w:divBdr>
        <w:top w:val="none" w:sz="0" w:space="0" w:color="auto"/>
        <w:left w:val="none" w:sz="0" w:space="0" w:color="auto"/>
        <w:bottom w:val="none" w:sz="0" w:space="0" w:color="auto"/>
        <w:right w:val="none" w:sz="0" w:space="0" w:color="auto"/>
      </w:divBdr>
    </w:div>
    <w:div w:id="1866871350">
      <w:bodyDiv w:val="1"/>
      <w:marLeft w:val="0"/>
      <w:marRight w:val="0"/>
      <w:marTop w:val="0"/>
      <w:marBottom w:val="0"/>
      <w:divBdr>
        <w:top w:val="none" w:sz="0" w:space="0" w:color="auto"/>
        <w:left w:val="none" w:sz="0" w:space="0" w:color="auto"/>
        <w:bottom w:val="none" w:sz="0" w:space="0" w:color="auto"/>
        <w:right w:val="none" w:sz="0" w:space="0" w:color="auto"/>
      </w:divBdr>
    </w:div>
    <w:div w:id="1874537231">
      <w:bodyDiv w:val="1"/>
      <w:marLeft w:val="0"/>
      <w:marRight w:val="0"/>
      <w:marTop w:val="0"/>
      <w:marBottom w:val="0"/>
      <w:divBdr>
        <w:top w:val="none" w:sz="0" w:space="0" w:color="auto"/>
        <w:left w:val="none" w:sz="0" w:space="0" w:color="auto"/>
        <w:bottom w:val="none" w:sz="0" w:space="0" w:color="auto"/>
        <w:right w:val="none" w:sz="0" w:space="0" w:color="auto"/>
      </w:divBdr>
    </w:div>
    <w:div w:id="1919360901">
      <w:bodyDiv w:val="1"/>
      <w:marLeft w:val="0"/>
      <w:marRight w:val="0"/>
      <w:marTop w:val="0"/>
      <w:marBottom w:val="0"/>
      <w:divBdr>
        <w:top w:val="none" w:sz="0" w:space="0" w:color="auto"/>
        <w:left w:val="none" w:sz="0" w:space="0" w:color="auto"/>
        <w:bottom w:val="none" w:sz="0" w:space="0" w:color="auto"/>
        <w:right w:val="none" w:sz="0" w:space="0" w:color="auto"/>
      </w:divBdr>
    </w:div>
    <w:div w:id="1922835992">
      <w:bodyDiv w:val="1"/>
      <w:marLeft w:val="0"/>
      <w:marRight w:val="0"/>
      <w:marTop w:val="0"/>
      <w:marBottom w:val="0"/>
      <w:divBdr>
        <w:top w:val="none" w:sz="0" w:space="0" w:color="auto"/>
        <w:left w:val="none" w:sz="0" w:space="0" w:color="auto"/>
        <w:bottom w:val="none" w:sz="0" w:space="0" w:color="auto"/>
        <w:right w:val="none" w:sz="0" w:space="0" w:color="auto"/>
      </w:divBdr>
    </w:div>
    <w:div w:id="1927422311">
      <w:bodyDiv w:val="1"/>
      <w:marLeft w:val="0"/>
      <w:marRight w:val="0"/>
      <w:marTop w:val="0"/>
      <w:marBottom w:val="0"/>
      <w:divBdr>
        <w:top w:val="none" w:sz="0" w:space="0" w:color="auto"/>
        <w:left w:val="none" w:sz="0" w:space="0" w:color="auto"/>
        <w:bottom w:val="none" w:sz="0" w:space="0" w:color="auto"/>
        <w:right w:val="none" w:sz="0" w:space="0" w:color="auto"/>
      </w:divBdr>
      <w:divsChild>
        <w:div w:id="339088247">
          <w:marLeft w:val="187"/>
          <w:marRight w:val="0"/>
          <w:marTop w:val="0"/>
          <w:marBottom w:val="0"/>
          <w:divBdr>
            <w:top w:val="none" w:sz="0" w:space="0" w:color="auto"/>
            <w:left w:val="none" w:sz="0" w:space="0" w:color="auto"/>
            <w:bottom w:val="none" w:sz="0" w:space="0" w:color="auto"/>
            <w:right w:val="none" w:sz="0" w:space="0" w:color="auto"/>
          </w:divBdr>
        </w:div>
        <w:div w:id="733896774">
          <w:marLeft w:val="187"/>
          <w:marRight w:val="0"/>
          <w:marTop w:val="36"/>
          <w:marBottom w:val="0"/>
          <w:divBdr>
            <w:top w:val="none" w:sz="0" w:space="0" w:color="auto"/>
            <w:left w:val="none" w:sz="0" w:space="0" w:color="auto"/>
            <w:bottom w:val="none" w:sz="0" w:space="0" w:color="auto"/>
            <w:right w:val="none" w:sz="0" w:space="0" w:color="auto"/>
          </w:divBdr>
        </w:div>
      </w:divsChild>
    </w:div>
    <w:div w:id="1942949588">
      <w:bodyDiv w:val="1"/>
      <w:marLeft w:val="0"/>
      <w:marRight w:val="0"/>
      <w:marTop w:val="0"/>
      <w:marBottom w:val="0"/>
      <w:divBdr>
        <w:top w:val="none" w:sz="0" w:space="0" w:color="auto"/>
        <w:left w:val="none" w:sz="0" w:space="0" w:color="auto"/>
        <w:bottom w:val="none" w:sz="0" w:space="0" w:color="auto"/>
        <w:right w:val="none" w:sz="0" w:space="0" w:color="auto"/>
      </w:divBdr>
    </w:div>
    <w:div w:id="1945771936">
      <w:bodyDiv w:val="1"/>
      <w:marLeft w:val="0"/>
      <w:marRight w:val="0"/>
      <w:marTop w:val="0"/>
      <w:marBottom w:val="0"/>
      <w:divBdr>
        <w:top w:val="none" w:sz="0" w:space="0" w:color="auto"/>
        <w:left w:val="none" w:sz="0" w:space="0" w:color="auto"/>
        <w:bottom w:val="none" w:sz="0" w:space="0" w:color="auto"/>
        <w:right w:val="none" w:sz="0" w:space="0" w:color="auto"/>
      </w:divBdr>
    </w:div>
    <w:div w:id="1948924597">
      <w:bodyDiv w:val="1"/>
      <w:marLeft w:val="0"/>
      <w:marRight w:val="0"/>
      <w:marTop w:val="0"/>
      <w:marBottom w:val="0"/>
      <w:divBdr>
        <w:top w:val="none" w:sz="0" w:space="0" w:color="auto"/>
        <w:left w:val="none" w:sz="0" w:space="0" w:color="auto"/>
        <w:bottom w:val="none" w:sz="0" w:space="0" w:color="auto"/>
        <w:right w:val="none" w:sz="0" w:space="0" w:color="auto"/>
      </w:divBdr>
    </w:div>
    <w:div w:id="1965386764">
      <w:bodyDiv w:val="1"/>
      <w:marLeft w:val="0"/>
      <w:marRight w:val="0"/>
      <w:marTop w:val="0"/>
      <w:marBottom w:val="0"/>
      <w:divBdr>
        <w:top w:val="none" w:sz="0" w:space="0" w:color="auto"/>
        <w:left w:val="none" w:sz="0" w:space="0" w:color="auto"/>
        <w:bottom w:val="none" w:sz="0" w:space="0" w:color="auto"/>
        <w:right w:val="none" w:sz="0" w:space="0" w:color="auto"/>
      </w:divBdr>
    </w:div>
    <w:div w:id="1978216511">
      <w:bodyDiv w:val="1"/>
      <w:marLeft w:val="0"/>
      <w:marRight w:val="0"/>
      <w:marTop w:val="0"/>
      <w:marBottom w:val="0"/>
      <w:divBdr>
        <w:top w:val="none" w:sz="0" w:space="0" w:color="auto"/>
        <w:left w:val="none" w:sz="0" w:space="0" w:color="auto"/>
        <w:bottom w:val="none" w:sz="0" w:space="0" w:color="auto"/>
        <w:right w:val="none" w:sz="0" w:space="0" w:color="auto"/>
      </w:divBdr>
    </w:div>
    <w:div w:id="2003191732">
      <w:bodyDiv w:val="1"/>
      <w:marLeft w:val="0"/>
      <w:marRight w:val="0"/>
      <w:marTop w:val="0"/>
      <w:marBottom w:val="0"/>
      <w:divBdr>
        <w:top w:val="none" w:sz="0" w:space="0" w:color="auto"/>
        <w:left w:val="none" w:sz="0" w:space="0" w:color="auto"/>
        <w:bottom w:val="none" w:sz="0" w:space="0" w:color="auto"/>
        <w:right w:val="none" w:sz="0" w:space="0" w:color="auto"/>
      </w:divBdr>
      <w:divsChild>
        <w:div w:id="1559049429">
          <w:marLeft w:val="274"/>
          <w:marRight w:val="0"/>
          <w:marTop w:val="0"/>
          <w:marBottom w:val="0"/>
          <w:divBdr>
            <w:top w:val="none" w:sz="0" w:space="0" w:color="auto"/>
            <w:left w:val="none" w:sz="0" w:space="0" w:color="auto"/>
            <w:bottom w:val="none" w:sz="0" w:space="0" w:color="auto"/>
            <w:right w:val="none" w:sz="0" w:space="0" w:color="auto"/>
          </w:divBdr>
        </w:div>
      </w:divsChild>
    </w:div>
    <w:div w:id="2004778238">
      <w:bodyDiv w:val="1"/>
      <w:marLeft w:val="0"/>
      <w:marRight w:val="0"/>
      <w:marTop w:val="0"/>
      <w:marBottom w:val="0"/>
      <w:divBdr>
        <w:top w:val="none" w:sz="0" w:space="0" w:color="auto"/>
        <w:left w:val="none" w:sz="0" w:space="0" w:color="auto"/>
        <w:bottom w:val="none" w:sz="0" w:space="0" w:color="auto"/>
        <w:right w:val="none" w:sz="0" w:space="0" w:color="auto"/>
      </w:divBdr>
    </w:div>
    <w:div w:id="2027561560">
      <w:bodyDiv w:val="1"/>
      <w:marLeft w:val="0"/>
      <w:marRight w:val="0"/>
      <w:marTop w:val="0"/>
      <w:marBottom w:val="0"/>
      <w:divBdr>
        <w:top w:val="none" w:sz="0" w:space="0" w:color="auto"/>
        <w:left w:val="none" w:sz="0" w:space="0" w:color="auto"/>
        <w:bottom w:val="none" w:sz="0" w:space="0" w:color="auto"/>
        <w:right w:val="none" w:sz="0" w:space="0" w:color="auto"/>
      </w:divBdr>
      <w:divsChild>
        <w:div w:id="1948154806">
          <w:marLeft w:val="720"/>
          <w:marRight w:val="0"/>
          <w:marTop w:val="200"/>
          <w:marBottom w:val="0"/>
          <w:divBdr>
            <w:top w:val="none" w:sz="0" w:space="0" w:color="auto"/>
            <w:left w:val="none" w:sz="0" w:space="0" w:color="auto"/>
            <w:bottom w:val="none" w:sz="0" w:space="0" w:color="auto"/>
            <w:right w:val="none" w:sz="0" w:space="0" w:color="auto"/>
          </w:divBdr>
        </w:div>
        <w:div w:id="1722434490">
          <w:marLeft w:val="720"/>
          <w:marRight w:val="0"/>
          <w:marTop w:val="200"/>
          <w:marBottom w:val="0"/>
          <w:divBdr>
            <w:top w:val="none" w:sz="0" w:space="0" w:color="auto"/>
            <w:left w:val="none" w:sz="0" w:space="0" w:color="auto"/>
            <w:bottom w:val="none" w:sz="0" w:space="0" w:color="auto"/>
            <w:right w:val="none" w:sz="0" w:space="0" w:color="auto"/>
          </w:divBdr>
        </w:div>
        <w:div w:id="1308319770">
          <w:marLeft w:val="720"/>
          <w:marRight w:val="0"/>
          <w:marTop w:val="200"/>
          <w:marBottom w:val="0"/>
          <w:divBdr>
            <w:top w:val="none" w:sz="0" w:space="0" w:color="auto"/>
            <w:left w:val="none" w:sz="0" w:space="0" w:color="auto"/>
            <w:bottom w:val="none" w:sz="0" w:space="0" w:color="auto"/>
            <w:right w:val="none" w:sz="0" w:space="0" w:color="auto"/>
          </w:divBdr>
        </w:div>
      </w:divsChild>
    </w:div>
    <w:div w:id="2041665264">
      <w:bodyDiv w:val="1"/>
      <w:marLeft w:val="0"/>
      <w:marRight w:val="0"/>
      <w:marTop w:val="0"/>
      <w:marBottom w:val="0"/>
      <w:divBdr>
        <w:top w:val="none" w:sz="0" w:space="0" w:color="auto"/>
        <w:left w:val="none" w:sz="0" w:space="0" w:color="auto"/>
        <w:bottom w:val="none" w:sz="0" w:space="0" w:color="auto"/>
        <w:right w:val="none" w:sz="0" w:space="0" w:color="auto"/>
      </w:divBdr>
    </w:div>
    <w:div w:id="2046834000">
      <w:bodyDiv w:val="1"/>
      <w:marLeft w:val="0"/>
      <w:marRight w:val="0"/>
      <w:marTop w:val="0"/>
      <w:marBottom w:val="0"/>
      <w:divBdr>
        <w:top w:val="none" w:sz="0" w:space="0" w:color="auto"/>
        <w:left w:val="none" w:sz="0" w:space="0" w:color="auto"/>
        <w:bottom w:val="none" w:sz="0" w:space="0" w:color="auto"/>
        <w:right w:val="none" w:sz="0" w:space="0" w:color="auto"/>
      </w:divBdr>
    </w:div>
    <w:div w:id="2052917252">
      <w:bodyDiv w:val="1"/>
      <w:marLeft w:val="0"/>
      <w:marRight w:val="0"/>
      <w:marTop w:val="0"/>
      <w:marBottom w:val="0"/>
      <w:divBdr>
        <w:top w:val="none" w:sz="0" w:space="0" w:color="auto"/>
        <w:left w:val="none" w:sz="0" w:space="0" w:color="auto"/>
        <w:bottom w:val="none" w:sz="0" w:space="0" w:color="auto"/>
        <w:right w:val="none" w:sz="0" w:space="0" w:color="auto"/>
      </w:divBdr>
    </w:div>
    <w:div w:id="2067532059">
      <w:bodyDiv w:val="1"/>
      <w:marLeft w:val="0"/>
      <w:marRight w:val="0"/>
      <w:marTop w:val="0"/>
      <w:marBottom w:val="0"/>
      <w:divBdr>
        <w:top w:val="none" w:sz="0" w:space="0" w:color="auto"/>
        <w:left w:val="none" w:sz="0" w:space="0" w:color="auto"/>
        <w:bottom w:val="none" w:sz="0" w:space="0" w:color="auto"/>
        <w:right w:val="none" w:sz="0" w:space="0" w:color="auto"/>
      </w:divBdr>
    </w:div>
    <w:div w:id="2068147046">
      <w:bodyDiv w:val="1"/>
      <w:marLeft w:val="0"/>
      <w:marRight w:val="0"/>
      <w:marTop w:val="0"/>
      <w:marBottom w:val="0"/>
      <w:divBdr>
        <w:top w:val="none" w:sz="0" w:space="0" w:color="auto"/>
        <w:left w:val="none" w:sz="0" w:space="0" w:color="auto"/>
        <w:bottom w:val="none" w:sz="0" w:space="0" w:color="auto"/>
        <w:right w:val="none" w:sz="0" w:space="0" w:color="auto"/>
      </w:divBdr>
    </w:div>
    <w:div w:id="2073919375">
      <w:bodyDiv w:val="1"/>
      <w:marLeft w:val="0"/>
      <w:marRight w:val="0"/>
      <w:marTop w:val="0"/>
      <w:marBottom w:val="0"/>
      <w:divBdr>
        <w:top w:val="none" w:sz="0" w:space="0" w:color="auto"/>
        <w:left w:val="none" w:sz="0" w:space="0" w:color="auto"/>
        <w:bottom w:val="none" w:sz="0" w:space="0" w:color="auto"/>
        <w:right w:val="none" w:sz="0" w:space="0" w:color="auto"/>
      </w:divBdr>
    </w:div>
    <w:div w:id="2077241237">
      <w:bodyDiv w:val="1"/>
      <w:marLeft w:val="0"/>
      <w:marRight w:val="0"/>
      <w:marTop w:val="0"/>
      <w:marBottom w:val="0"/>
      <w:divBdr>
        <w:top w:val="none" w:sz="0" w:space="0" w:color="auto"/>
        <w:left w:val="none" w:sz="0" w:space="0" w:color="auto"/>
        <w:bottom w:val="none" w:sz="0" w:space="0" w:color="auto"/>
        <w:right w:val="none" w:sz="0" w:space="0" w:color="auto"/>
      </w:divBdr>
    </w:div>
    <w:div w:id="2090033003">
      <w:bodyDiv w:val="1"/>
      <w:marLeft w:val="0"/>
      <w:marRight w:val="0"/>
      <w:marTop w:val="0"/>
      <w:marBottom w:val="0"/>
      <w:divBdr>
        <w:top w:val="none" w:sz="0" w:space="0" w:color="auto"/>
        <w:left w:val="none" w:sz="0" w:space="0" w:color="auto"/>
        <w:bottom w:val="none" w:sz="0" w:space="0" w:color="auto"/>
        <w:right w:val="none" w:sz="0" w:space="0" w:color="auto"/>
      </w:divBdr>
    </w:div>
    <w:div w:id="2091849872">
      <w:bodyDiv w:val="1"/>
      <w:marLeft w:val="0"/>
      <w:marRight w:val="0"/>
      <w:marTop w:val="0"/>
      <w:marBottom w:val="0"/>
      <w:divBdr>
        <w:top w:val="none" w:sz="0" w:space="0" w:color="auto"/>
        <w:left w:val="none" w:sz="0" w:space="0" w:color="auto"/>
        <w:bottom w:val="none" w:sz="0" w:space="0" w:color="auto"/>
        <w:right w:val="none" w:sz="0" w:space="0" w:color="auto"/>
      </w:divBdr>
      <w:divsChild>
        <w:div w:id="1566451854">
          <w:marLeft w:val="821"/>
          <w:marRight w:val="0"/>
          <w:marTop w:val="100"/>
          <w:marBottom w:val="0"/>
          <w:divBdr>
            <w:top w:val="none" w:sz="0" w:space="0" w:color="auto"/>
            <w:left w:val="none" w:sz="0" w:space="0" w:color="auto"/>
            <w:bottom w:val="none" w:sz="0" w:space="0" w:color="auto"/>
            <w:right w:val="none" w:sz="0" w:space="0" w:color="auto"/>
          </w:divBdr>
        </w:div>
        <w:div w:id="1657956934">
          <w:marLeft w:val="821"/>
          <w:marRight w:val="0"/>
          <w:marTop w:val="100"/>
          <w:marBottom w:val="0"/>
          <w:divBdr>
            <w:top w:val="none" w:sz="0" w:space="0" w:color="auto"/>
            <w:left w:val="none" w:sz="0" w:space="0" w:color="auto"/>
            <w:bottom w:val="none" w:sz="0" w:space="0" w:color="auto"/>
            <w:right w:val="none" w:sz="0" w:space="0" w:color="auto"/>
          </w:divBdr>
        </w:div>
        <w:div w:id="1245844077">
          <w:marLeft w:val="821"/>
          <w:marRight w:val="0"/>
          <w:marTop w:val="100"/>
          <w:marBottom w:val="0"/>
          <w:divBdr>
            <w:top w:val="none" w:sz="0" w:space="0" w:color="auto"/>
            <w:left w:val="none" w:sz="0" w:space="0" w:color="auto"/>
            <w:bottom w:val="none" w:sz="0" w:space="0" w:color="auto"/>
            <w:right w:val="none" w:sz="0" w:space="0" w:color="auto"/>
          </w:divBdr>
        </w:div>
        <w:div w:id="1679574431">
          <w:marLeft w:val="821"/>
          <w:marRight w:val="0"/>
          <w:marTop w:val="100"/>
          <w:marBottom w:val="0"/>
          <w:divBdr>
            <w:top w:val="none" w:sz="0" w:space="0" w:color="auto"/>
            <w:left w:val="none" w:sz="0" w:space="0" w:color="auto"/>
            <w:bottom w:val="none" w:sz="0" w:space="0" w:color="auto"/>
            <w:right w:val="none" w:sz="0" w:space="0" w:color="auto"/>
          </w:divBdr>
        </w:div>
        <w:div w:id="931932802">
          <w:marLeft w:val="821"/>
          <w:marRight w:val="0"/>
          <w:marTop w:val="100"/>
          <w:marBottom w:val="0"/>
          <w:divBdr>
            <w:top w:val="none" w:sz="0" w:space="0" w:color="auto"/>
            <w:left w:val="none" w:sz="0" w:space="0" w:color="auto"/>
            <w:bottom w:val="none" w:sz="0" w:space="0" w:color="auto"/>
            <w:right w:val="none" w:sz="0" w:space="0" w:color="auto"/>
          </w:divBdr>
        </w:div>
        <w:div w:id="945038518">
          <w:marLeft w:val="821"/>
          <w:marRight w:val="0"/>
          <w:marTop w:val="100"/>
          <w:marBottom w:val="0"/>
          <w:divBdr>
            <w:top w:val="none" w:sz="0" w:space="0" w:color="auto"/>
            <w:left w:val="none" w:sz="0" w:space="0" w:color="auto"/>
            <w:bottom w:val="none" w:sz="0" w:space="0" w:color="auto"/>
            <w:right w:val="none" w:sz="0" w:space="0" w:color="auto"/>
          </w:divBdr>
        </w:div>
      </w:divsChild>
    </w:div>
    <w:div w:id="2097047294">
      <w:bodyDiv w:val="1"/>
      <w:marLeft w:val="0"/>
      <w:marRight w:val="0"/>
      <w:marTop w:val="0"/>
      <w:marBottom w:val="0"/>
      <w:divBdr>
        <w:top w:val="none" w:sz="0" w:space="0" w:color="auto"/>
        <w:left w:val="none" w:sz="0" w:space="0" w:color="auto"/>
        <w:bottom w:val="none" w:sz="0" w:space="0" w:color="auto"/>
        <w:right w:val="none" w:sz="0" w:space="0" w:color="auto"/>
      </w:divBdr>
      <w:divsChild>
        <w:div w:id="1257783155">
          <w:marLeft w:val="547"/>
          <w:marRight w:val="0"/>
          <w:marTop w:val="0"/>
          <w:marBottom w:val="0"/>
          <w:divBdr>
            <w:top w:val="none" w:sz="0" w:space="0" w:color="auto"/>
            <w:left w:val="none" w:sz="0" w:space="0" w:color="auto"/>
            <w:bottom w:val="none" w:sz="0" w:space="0" w:color="auto"/>
            <w:right w:val="none" w:sz="0" w:space="0" w:color="auto"/>
          </w:divBdr>
        </w:div>
        <w:div w:id="2094470678">
          <w:marLeft w:val="547"/>
          <w:marRight w:val="0"/>
          <w:marTop w:val="0"/>
          <w:marBottom w:val="0"/>
          <w:divBdr>
            <w:top w:val="none" w:sz="0" w:space="0" w:color="auto"/>
            <w:left w:val="none" w:sz="0" w:space="0" w:color="auto"/>
            <w:bottom w:val="none" w:sz="0" w:space="0" w:color="auto"/>
            <w:right w:val="none" w:sz="0" w:space="0" w:color="auto"/>
          </w:divBdr>
        </w:div>
        <w:div w:id="896939907">
          <w:marLeft w:val="1714"/>
          <w:marRight w:val="0"/>
          <w:marTop w:val="0"/>
          <w:marBottom w:val="0"/>
          <w:divBdr>
            <w:top w:val="none" w:sz="0" w:space="0" w:color="auto"/>
            <w:left w:val="none" w:sz="0" w:space="0" w:color="auto"/>
            <w:bottom w:val="none" w:sz="0" w:space="0" w:color="auto"/>
            <w:right w:val="none" w:sz="0" w:space="0" w:color="auto"/>
          </w:divBdr>
        </w:div>
        <w:div w:id="2126190950">
          <w:marLeft w:val="1714"/>
          <w:marRight w:val="0"/>
          <w:marTop w:val="0"/>
          <w:marBottom w:val="0"/>
          <w:divBdr>
            <w:top w:val="none" w:sz="0" w:space="0" w:color="auto"/>
            <w:left w:val="none" w:sz="0" w:space="0" w:color="auto"/>
            <w:bottom w:val="none" w:sz="0" w:space="0" w:color="auto"/>
            <w:right w:val="none" w:sz="0" w:space="0" w:color="auto"/>
          </w:divBdr>
        </w:div>
      </w:divsChild>
    </w:div>
    <w:div w:id="2098020968">
      <w:bodyDiv w:val="1"/>
      <w:marLeft w:val="0"/>
      <w:marRight w:val="0"/>
      <w:marTop w:val="0"/>
      <w:marBottom w:val="0"/>
      <w:divBdr>
        <w:top w:val="none" w:sz="0" w:space="0" w:color="auto"/>
        <w:left w:val="none" w:sz="0" w:space="0" w:color="auto"/>
        <w:bottom w:val="none" w:sz="0" w:space="0" w:color="auto"/>
        <w:right w:val="none" w:sz="0" w:space="0" w:color="auto"/>
      </w:divBdr>
    </w:div>
    <w:div w:id="2099709596">
      <w:bodyDiv w:val="1"/>
      <w:marLeft w:val="0"/>
      <w:marRight w:val="0"/>
      <w:marTop w:val="0"/>
      <w:marBottom w:val="0"/>
      <w:divBdr>
        <w:top w:val="none" w:sz="0" w:space="0" w:color="auto"/>
        <w:left w:val="none" w:sz="0" w:space="0" w:color="auto"/>
        <w:bottom w:val="none" w:sz="0" w:space="0" w:color="auto"/>
        <w:right w:val="none" w:sz="0" w:space="0" w:color="auto"/>
      </w:divBdr>
    </w:div>
    <w:div w:id="2112502526">
      <w:bodyDiv w:val="1"/>
      <w:marLeft w:val="0"/>
      <w:marRight w:val="0"/>
      <w:marTop w:val="0"/>
      <w:marBottom w:val="0"/>
      <w:divBdr>
        <w:top w:val="none" w:sz="0" w:space="0" w:color="auto"/>
        <w:left w:val="none" w:sz="0" w:space="0" w:color="auto"/>
        <w:bottom w:val="none" w:sz="0" w:space="0" w:color="auto"/>
        <w:right w:val="none" w:sz="0" w:space="0" w:color="auto"/>
      </w:divBdr>
    </w:div>
    <w:div w:id="2114086033">
      <w:bodyDiv w:val="1"/>
      <w:marLeft w:val="0"/>
      <w:marRight w:val="0"/>
      <w:marTop w:val="0"/>
      <w:marBottom w:val="0"/>
      <w:divBdr>
        <w:top w:val="none" w:sz="0" w:space="0" w:color="auto"/>
        <w:left w:val="none" w:sz="0" w:space="0" w:color="auto"/>
        <w:bottom w:val="none" w:sz="0" w:space="0" w:color="auto"/>
        <w:right w:val="none" w:sz="0" w:space="0" w:color="auto"/>
      </w:divBdr>
    </w:div>
    <w:div w:id="2128159789">
      <w:bodyDiv w:val="1"/>
      <w:marLeft w:val="0"/>
      <w:marRight w:val="0"/>
      <w:marTop w:val="0"/>
      <w:marBottom w:val="0"/>
      <w:divBdr>
        <w:top w:val="none" w:sz="0" w:space="0" w:color="auto"/>
        <w:left w:val="none" w:sz="0" w:space="0" w:color="auto"/>
        <w:bottom w:val="none" w:sz="0" w:space="0" w:color="auto"/>
        <w:right w:val="none" w:sz="0" w:space="0" w:color="auto"/>
      </w:divBdr>
    </w:div>
    <w:div w:id="2129545397">
      <w:bodyDiv w:val="1"/>
      <w:marLeft w:val="0"/>
      <w:marRight w:val="0"/>
      <w:marTop w:val="0"/>
      <w:marBottom w:val="0"/>
      <w:divBdr>
        <w:top w:val="none" w:sz="0" w:space="0" w:color="auto"/>
        <w:left w:val="none" w:sz="0" w:space="0" w:color="auto"/>
        <w:bottom w:val="none" w:sz="0" w:space="0" w:color="auto"/>
        <w:right w:val="none" w:sz="0" w:space="0" w:color="auto"/>
      </w:divBdr>
    </w:div>
    <w:div w:id="2131393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6.xml"/><Relationship Id="rId26" Type="http://schemas.openxmlformats.org/officeDocument/2006/relationships/hyperlink" Target="vroi.org/resources" TargetMode="External"/><Relationship Id="rId3" Type="http://schemas.openxmlformats.org/officeDocument/2006/relationships/customXml" Target="../customXml/item3.xml"/><Relationship Id="rId21" Type="http://schemas.openxmlformats.org/officeDocument/2006/relationships/chart" Target="charts/chart9.xm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chart" Target="charts/chart1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chart" Target="charts/chart12.xml"/><Relationship Id="rId5" Type="http://schemas.openxmlformats.org/officeDocument/2006/relationships/styles" Target="style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7.xml"/><Relationship Id="rId4" Type="http://schemas.openxmlformats.org/officeDocument/2006/relationships/numbering" Target="numbering.xml"/><Relationship Id="rId9" Type="http://schemas.openxmlformats.org/officeDocument/2006/relationships/image" Target="media/image2.emf"/><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dirty="0">
                <a:solidFill>
                  <a:srgbClr val="020592"/>
                </a:solidFill>
              </a:rPr>
              <a:t>Short-Run (SR) Effects</a:t>
            </a:r>
          </a:p>
        </c:rich>
      </c:tx>
      <c:overlay val="0"/>
    </c:title>
    <c:autoTitleDeleted val="0"/>
    <c:plotArea>
      <c:layout>
        <c:manualLayout>
          <c:layoutTarget val="inner"/>
          <c:xMode val="edge"/>
          <c:yMode val="edge"/>
          <c:x val="7.1547870288731497E-2"/>
          <c:y val="0.12678735687680601"/>
          <c:w val="0.91001516491934298"/>
          <c:h val="0.76095143485606598"/>
        </c:manualLayout>
      </c:layout>
      <c:barChart>
        <c:barDir val="col"/>
        <c:grouping val="clustered"/>
        <c:varyColors val="0"/>
        <c:ser>
          <c:idx val="0"/>
          <c:order val="0"/>
          <c:tx>
            <c:v>Employment</c:v>
          </c:tx>
          <c:spPr>
            <a:solidFill>
              <a:srgbClr val="4F81BD"/>
            </a:solidFill>
          </c:spPr>
          <c:invertIfNegative val="0"/>
          <c:cat>
            <c:strRef>
              <c:f>MI!$A$24:$A$29</c:f>
              <c:strCache>
                <c:ptCount val="6"/>
                <c:pt idx="0">
                  <c:v>Diag</c:v>
                </c:pt>
                <c:pt idx="1">
                  <c:v>Train</c:v>
                </c:pt>
                <c:pt idx="2">
                  <c:v>Educ</c:v>
                </c:pt>
                <c:pt idx="3">
                  <c:v>Rstr</c:v>
                </c:pt>
                <c:pt idx="4">
                  <c:v>Maint</c:v>
                </c:pt>
                <c:pt idx="5">
                  <c:v>Other</c:v>
                </c:pt>
              </c:strCache>
            </c:strRef>
          </c:cat>
          <c:val>
            <c:numRef>
              <c:f>MI!$F$24:$F$29</c:f>
              <c:numCache>
                <c:formatCode>0.000</c:formatCode>
                <c:ptCount val="6"/>
                <c:pt idx="0">
                  <c:v>-9.1200000000000003E-2</c:v>
                </c:pt>
                <c:pt idx="1">
                  <c:v>0.25240000000000001</c:v>
                </c:pt>
                <c:pt idx="2">
                  <c:v>-0.1196</c:v>
                </c:pt>
                <c:pt idx="3">
                  <c:v>-6.80000000000001E-3</c:v>
                </c:pt>
                <c:pt idx="4">
                  <c:v>-6.5199999999999994E-2</c:v>
                </c:pt>
                <c:pt idx="5">
                  <c:v>5.1200000000000002E-2</c:v>
                </c:pt>
              </c:numCache>
            </c:numRef>
          </c:val>
          <c:extLst>
            <c:ext xmlns:c16="http://schemas.microsoft.com/office/drawing/2014/chart" uri="{C3380CC4-5D6E-409C-BE32-E72D297353CC}">
              <c16:uniqueId val="{00000000-B763-4C05-909D-19283590DA4B}"/>
            </c:ext>
          </c:extLst>
        </c:ser>
        <c:ser>
          <c:idx val="1"/>
          <c:order val="1"/>
          <c:tx>
            <c:v>Earnings</c:v>
          </c:tx>
          <c:spPr>
            <a:solidFill>
              <a:srgbClr val="C0504D"/>
            </a:solidFill>
          </c:spPr>
          <c:invertIfNegative val="0"/>
          <c:cat>
            <c:strRef>
              <c:f>MI!$A$24:$A$29</c:f>
              <c:strCache>
                <c:ptCount val="6"/>
                <c:pt idx="0">
                  <c:v>Diag</c:v>
                </c:pt>
                <c:pt idx="1">
                  <c:v>Train</c:v>
                </c:pt>
                <c:pt idx="2">
                  <c:v>Educ</c:v>
                </c:pt>
                <c:pt idx="3">
                  <c:v>Rstr</c:v>
                </c:pt>
                <c:pt idx="4">
                  <c:v>Maint</c:v>
                </c:pt>
                <c:pt idx="5">
                  <c:v>Other</c:v>
                </c:pt>
              </c:strCache>
            </c:strRef>
          </c:cat>
          <c:val>
            <c:numRef>
              <c:f>MI!$D$24:$D$29</c:f>
              <c:numCache>
                <c:formatCode>0.000</c:formatCode>
                <c:ptCount val="6"/>
                <c:pt idx="0">
                  <c:v>-8.5000000000000006E-2</c:v>
                </c:pt>
                <c:pt idx="1">
                  <c:v>-5.5E-2</c:v>
                </c:pt>
                <c:pt idx="2">
                  <c:v>-8.5000000000000006E-2</c:v>
                </c:pt>
                <c:pt idx="3">
                  <c:v>9.1999999999999998E-2</c:v>
                </c:pt>
                <c:pt idx="4">
                  <c:v>0.106</c:v>
                </c:pt>
                <c:pt idx="5">
                  <c:v>8.4000000000000005E-2</c:v>
                </c:pt>
              </c:numCache>
            </c:numRef>
          </c:val>
          <c:extLst>
            <c:ext xmlns:c16="http://schemas.microsoft.com/office/drawing/2014/chart" uri="{C3380CC4-5D6E-409C-BE32-E72D297353CC}">
              <c16:uniqueId val="{00000001-B763-4C05-909D-19283590DA4B}"/>
            </c:ext>
          </c:extLst>
        </c:ser>
        <c:dLbls>
          <c:showLegendKey val="0"/>
          <c:showVal val="0"/>
          <c:showCatName val="0"/>
          <c:showSerName val="0"/>
          <c:showPercent val="0"/>
          <c:showBubbleSize val="0"/>
        </c:dLbls>
        <c:gapWidth val="150"/>
        <c:axId val="40488320"/>
        <c:axId val="40494208"/>
      </c:barChart>
      <c:catAx>
        <c:axId val="40488320"/>
        <c:scaling>
          <c:orientation val="minMax"/>
        </c:scaling>
        <c:delete val="0"/>
        <c:axPos val="b"/>
        <c:numFmt formatCode="General" sourceLinked="0"/>
        <c:majorTickMark val="out"/>
        <c:minorTickMark val="none"/>
        <c:tickLblPos val="low"/>
        <c:txPr>
          <a:bodyPr rot="0" vert="horz"/>
          <a:lstStyle/>
          <a:p>
            <a:pPr>
              <a:defRPr/>
            </a:pPr>
            <a:endParaRPr lang="en-US"/>
          </a:p>
        </c:txPr>
        <c:crossAx val="40494208"/>
        <c:crosses val="autoZero"/>
        <c:auto val="1"/>
        <c:lblAlgn val="ctr"/>
        <c:lblOffset val="100"/>
        <c:noMultiLvlLbl val="0"/>
      </c:catAx>
      <c:valAx>
        <c:axId val="40494208"/>
        <c:scaling>
          <c:orientation val="minMax"/>
          <c:min val="-0.2"/>
        </c:scaling>
        <c:delete val="0"/>
        <c:axPos val="l"/>
        <c:majorGridlines/>
        <c:numFmt formatCode="0.000" sourceLinked="1"/>
        <c:majorTickMark val="out"/>
        <c:minorTickMark val="none"/>
        <c:tickLblPos val="nextTo"/>
        <c:crossAx val="40488320"/>
        <c:crosses val="autoZero"/>
        <c:crossBetween val="between"/>
        <c:majorUnit val="0.1"/>
      </c:valAx>
    </c:plotArea>
    <c:legend>
      <c:legendPos val="r"/>
      <c:layout>
        <c:manualLayout>
          <c:xMode val="edge"/>
          <c:yMode val="edge"/>
          <c:x val="0.59986824263375105"/>
          <c:y val="0.141749310205396"/>
          <c:w val="0.38676367723185701"/>
          <c:h val="8.8731201217291195E-2"/>
        </c:manualLayout>
      </c:layout>
      <c:overlay val="0"/>
      <c:spPr>
        <a:solidFill>
          <a:schemeClr val="bg1"/>
        </a:solidFill>
        <a:ln w="6350">
          <a:solidFill>
            <a:sysClr val="windowText" lastClr="000000"/>
          </a:solidFill>
          <a:prstDash val="solid"/>
        </a:ln>
      </c:spPr>
      <c:txPr>
        <a:bodyPr/>
        <a:lstStyle/>
        <a:p>
          <a:pPr>
            <a:defRPr sz="1100"/>
          </a:pPr>
          <a:endParaRPr lang="en-US"/>
        </a:p>
      </c:txPr>
    </c:legend>
    <c:plotVisOnly val="1"/>
    <c:dispBlanksAs val="gap"/>
    <c:showDLblsOverMax val="0"/>
  </c:chart>
  <c:spPr>
    <a:ln>
      <a:solidFill>
        <a:srgbClr val="FFB91D"/>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solidFill>
                  <a:srgbClr val="020592"/>
                </a:solidFill>
              </a:rPr>
              <a:t>Long-Run Effects</a:t>
            </a:r>
          </a:p>
        </c:rich>
      </c:tx>
      <c:layout>
        <c:manualLayout>
          <c:xMode val="edge"/>
          <c:yMode val="edge"/>
          <c:x val="0.24785309648605597"/>
          <c:y val="0"/>
        </c:manualLayout>
      </c:layout>
      <c:overlay val="0"/>
    </c:title>
    <c:autoTitleDeleted val="0"/>
    <c:plotArea>
      <c:layout>
        <c:manualLayout>
          <c:layoutTarget val="inner"/>
          <c:xMode val="edge"/>
          <c:yMode val="edge"/>
          <c:x val="7.1547870288731497E-2"/>
          <c:y val="0.12678735687680601"/>
          <c:w val="0.91001516491934298"/>
          <c:h val="0.76095143485606598"/>
        </c:manualLayout>
      </c:layout>
      <c:barChart>
        <c:barDir val="col"/>
        <c:grouping val="clustered"/>
        <c:varyColors val="0"/>
        <c:ser>
          <c:idx val="0"/>
          <c:order val="0"/>
          <c:tx>
            <c:v>Employment</c:v>
          </c:tx>
          <c:spPr>
            <a:solidFill>
              <a:srgbClr val="4F81BD"/>
            </a:solidFill>
          </c:spPr>
          <c:invertIfNegative val="0"/>
          <c:cat>
            <c:strRef>
              <c:f>PI!$A$24:$A$29</c:f>
              <c:strCache>
                <c:ptCount val="6"/>
                <c:pt idx="0">
                  <c:v>Diag</c:v>
                </c:pt>
                <c:pt idx="1">
                  <c:v>Train</c:v>
                </c:pt>
                <c:pt idx="2">
                  <c:v>Educ</c:v>
                </c:pt>
                <c:pt idx="3">
                  <c:v>Rstr</c:v>
                </c:pt>
                <c:pt idx="4">
                  <c:v>Maint</c:v>
                </c:pt>
                <c:pt idx="5">
                  <c:v>Other</c:v>
                </c:pt>
              </c:strCache>
            </c:strRef>
          </c:cat>
          <c:val>
            <c:numRef>
              <c:f>PI!$G$24:$G$29</c:f>
              <c:numCache>
                <c:formatCode>0.000</c:formatCode>
                <c:ptCount val="6"/>
                <c:pt idx="0">
                  <c:v>5.0799999999999998E-2</c:v>
                </c:pt>
                <c:pt idx="1">
                  <c:v>0.16320000000000001</c:v>
                </c:pt>
                <c:pt idx="2">
                  <c:v>0.22559999999999999</c:v>
                </c:pt>
                <c:pt idx="3">
                  <c:v>0.14280000000000001</c:v>
                </c:pt>
                <c:pt idx="4">
                  <c:v>-6.0000000000000097E-3</c:v>
                </c:pt>
                <c:pt idx="5">
                  <c:v>0.1076</c:v>
                </c:pt>
              </c:numCache>
            </c:numRef>
          </c:val>
          <c:extLst>
            <c:ext xmlns:c16="http://schemas.microsoft.com/office/drawing/2014/chart" uri="{C3380CC4-5D6E-409C-BE32-E72D297353CC}">
              <c16:uniqueId val="{00000000-09E1-4D41-8861-1DB81E407432}"/>
            </c:ext>
          </c:extLst>
        </c:ser>
        <c:ser>
          <c:idx val="1"/>
          <c:order val="1"/>
          <c:tx>
            <c:v>Earnings</c:v>
          </c:tx>
          <c:spPr>
            <a:solidFill>
              <a:srgbClr val="C0504D"/>
            </a:solidFill>
          </c:spPr>
          <c:invertIfNegative val="0"/>
          <c:cat>
            <c:strRef>
              <c:f>PI!$A$24:$A$29</c:f>
              <c:strCache>
                <c:ptCount val="6"/>
                <c:pt idx="0">
                  <c:v>Diag</c:v>
                </c:pt>
                <c:pt idx="1">
                  <c:v>Train</c:v>
                </c:pt>
                <c:pt idx="2">
                  <c:v>Educ</c:v>
                </c:pt>
                <c:pt idx="3">
                  <c:v>Rstr</c:v>
                </c:pt>
                <c:pt idx="4">
                  <c:v>Maint</c:v>
                </c:pt>
                <c:pt idx="5">
                  <c:v>Other</c:v>
                </c:pt>
              </c:strCache>
            </c:strRef>
          </c:cat>
          <c:val>
            <c:numRef>
              <c:f>PI!$I$24:$I$29</c:f>
              <c:numCache>
                <c:formatCode>0.000</c:formatCode>
                <c:ptCount val="6"/>
                <c:pt idx="0">
                  <c:v>0.318</c:v>
                </c:pt>
                <c:pt idx="1">
                  <c:v>0.17199999999999999</c:v>
                </c:pt>
                <c:pt idx="2">
                  <c:v>0.36399999999999999</c:v>
                </c:pt>
                <c:pt idx="3">
                  <c:v>0.442</c:v>
                </c:pt>
                <c:pt idx="4">
                  <c:v>2.9000000000000001E-2</c:v>
                </c:pt>
                <c:pt idx="5">
                  <c:v>0.14799999999999999</c:v>
                </c:pt>
              </c:numCache>
            </c:numRef>
          </c:val>
          <c:extLst>
            <c:ext xmlns:c16="http://schemas.microsoft.com/office/drawing/2014/chart" uri="{C3380CC4-5D6E-409C-BE32-E72D297353CC}">
              <c16:uniqueId val="{00000001-09E1-4D41-8861-1DB81E407432}"/>
            </c:ext>
          </c:extLst>
        </c:ser>
        <c:dLbls>
          <c:showLegendKey val="0"/>
          <c:showVal val="0"/>
          <c:showCatName val="0"/>
          <c:showSerName val="0"/>
          <c:showPercent val="0"/>
          <c:showBubbleSize val="0"/>
        </c:dLbls>
        <c:gapWidth val="150"/>
        <c:axId val="85269504"/>
        <c:axId val="85275392"/>
      </c:barChart>
      <c:catAx>
        <c:axId val="85269504"/>
        <c:scaling>
          <c:orientation val="minMax"/>
        </c:scaling>
        <c:delete val="0"/>
        <c:axPos val="b"/>
        <c:numFmt formatCode="General" sourceLinked="0"/>
        <c:majorTickMark val="out"/>
        <c:minorTickMark val="none"/>
        <c:tickLblPos val="low"/>
        <c:txPr>
          <a:bodyPr rot="0" vert="horz"/>
          <a:lstStyle/>
          <a:p>
            <a:pPr>
              <a:defRPr/>
            </a:pPr>
            <a:endParaRPr lang="en-US"/>
          </a:p>
        </c:txPr>
        <c:crossAx val="85275392"/>
        <c:crosses val="autoZero"/>
        <c:auto val="1"/>
        <c:lblAlgn val="ctr"/>
        <c:lblOffset val="100"/>
        <c:noMultiLvlLbl val="0"/>
      </c:catAx>
      <c:valAx>
        <c:axId val="85275392"/>
        <c:scaling>
          <c:orientation val="minMax"/>
          <c:min val="-0.2"/>
        </c:scaling>
        <c:delete val="0"/>
        <c:axPos val="l"/>
        <c:majorGridlines/>
        <c:numFmt formatCode="0.000" sourceLinked="1"/>
        <c:majorTickMark val="out"/>
        <c:minorTickMark val="none"/>
        <c:tickLblPos val="nextTo"/>
        <c:crossAx val="85269504"/>
        <c:crosses val="autoZero"/>
        <c:crossBetween val="between"/>
      </c:valAx>
    </c:plotArea>
    <c:legend>
      <c:legendPos val="r"/>
      <c:layout>
        <c:manualLayout>
          <c:xMode val="edge"/>
          <c:yMode val="edge"/>
          <c:x val="0.11206336458497"/>
          <c:y val="0.127602533498342"/>
          <c:w val="0.71568575138288604"/>
          <c:h val="9.2267895394054597E-2"/>
        </c:manualLayout>
      </c:layout>
      <c:overlay val="0"/>
      <c:spPr>
        <a:solidFill>
          <a:schemeClr val="bg1"/>
        </a:solidFill>
        <a:ln w="6350">
          <a:solidFill>
            <a:schemeClr val="tx1"/>
          </a:solidFill>
          <a:prstDash val="solid"/>
        </a:ln>
      </c:spPr>
      <c:txPr>
        <a:bodyPr/>
        <a:lstStyle/>
        <a:p>
          <a:pPr>
            <a:defRPr sz="1100"/>
          </a:pPr>
          <a:endParaRPr lang="en-US"/>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solidFill>
                  <a:srgbClr val="020592"/>
                </a:solidFill>
              </a:rPr>
              <a:t>Short-Run Effects</a:t>
            </a:r>
          </a:p>
        </c:rich>
      </c:tx>
      <c:layout>
        <c:manualLayout>
          <c:xMode val="edge"/>
          <c:yMode val="edge"/>
          <c:x val="0.21632359003901505"/>
          <c:y val="9.8703371885937759E-3"/>
        </c:manualLayout>
      </c:layout>
      <c:overlay val="0"/>
    </c:title>
    <c:autoTitleDeleted val="0"/>
    <c:plotArea>
      <c:layout>
        <c:manualLayout>
          <c:layoutTarget val="inner"/>
          <c:xMode val="edge"/>
          <c:yMode val="edge"/>
          <c:x val="0.14890223801818228"/>
          <c:y val="0.12678750905336608"/>
          <c:w val="0.91001516491934298"/>
          <c:h val="0.76095143485606598"/>
        </c:manualLayout>
      </c:layout>
      <c:barChart>
        <c:barDir val="col"/>
        <c:grouping val="clustered"/>
        <c:varyColors val="0"/>
        <c:ser>
          <c:idx val="0"/>
          <c:order val="0"/>
          <c:tx>
            <c:v>Employment</c:v>
          </c:tx>
          <c:spPr>
            <a:solidFill>
              <a:srgbClr val="4F81BD"/>
            </a:solidFill>
          </c:spPr>
          <c:invertIfNegative val="0"/>
          <c:cat>
            <c:strRef>
              <c:f>PI!$A$24:$A$29</c:f>
              <c:strCache>
                <c:ptCount val="6"/>
                <c:pt idx="0">
                  <c:v>Diag</c:v>
                </c:pt>
                <c:pt idx="1">
                  <c:v>Train</c:v>
                </c:pt>
                <c:pt idx="2">
                  <c:v>Educ</c:v>
                </c:pt>
                <c:pt idx="3">
                  <c:v>Rstr</c:v>
                </c:pt>
                <c:pt idx="4">
                  <c:v>Maint</c:v>
                </c:pt>
                <c:pt idx="5">
                  <c:v>Other</c:v>
                </c:pt>
              </c:strCache>
            </c:strRef>
          </c:cat>
          <c:val>
            <c:numRef>
              <c:f>PI!$F$24:$F$29</c:f>
              <c:numCache>
                <c:formatCode>0.000</c:formatCode>
                <c:ptCount val="6"/>
                <c:pt idx="0">
                  <c:v>0.21879999999999999</c:v>
                </c:pt>
                <c:pt idx="1">
                  <c:v>0.12959999999999999</c:v>
                </c:pt>
                <c:pt idx="2">
                  <c:v>0.1032</c:v>
                </c:pt>
                <c:pt idx="3">
                  <c:v>0.20599999999999999</c:v>
                </c:pt>
                <c:pt idx="4">
                  <c:v>-2.8E-3</c:v>
                </c:pt>
                <c:pt idx="5">
                  <c:v>0.154</c:v>
                </c:pt>
              </c:numCache>
            </c:numRef>
          </c:val>
          <c:extLst>
            <c:ext xmlns:c16="http://schemas.microsoft.com/office/drawing/2014/chart" uri="{C3380CC4-5D6E-409C-BE32-E72D297353CC}">
              <c16:uniqueId val="{00000000-A1DD-467C-916D-599D20A7953F}"/>
            </c:ext>
          </c:extLst>
        </c:ser>
        <c:ser>
          <c:idx val="1"/>
          <c:order val="1"/>
          <c:tx>
            <c:v>Earnings</c:v>
          </c:tx>
          <c:spPr>
            <a:solidFill>
              <a:srgbClr val="C0504D"/>
            </a:solidFill>
          </c:spPr>
          <c:invertIfNegative val="0"/>
          <c:cat>
            <c:strRef>
              <c:f>PI!$A$24:$A$29</c:f>
              <c:strCache>
                <c:ptCount val="6"/>
                <c:pt idx="0">
                  <c:v>Diag</c:v>
                </c:pt>
                <c:pt idx="1">
                  <c:v>Train</c:v>
                </c:pt>
                <c:pt idx="2">
                  <c:v>Educ</c:v>
                </c:pt>
                <c:pt idx="3">
                  <c:v>Rstr</c:v>
                </c:pt>
                <c:pt idx="4">
                  <c:v>Maint</c:v>
                </c:pt>
                <c:pt idx="5">
                  <c:v>Other</c:v>
                </c:pt>
              </c:strCache>
            </c:strRef>
          </c:cat>
          <c:val>
            <c:numRef>
              <c:f>PI!$D$24:$D$29</c:f>
              <c:numCache>
                <c:formatCode>0.000</c:formatCode>
                <c:ptCount val="6"/>
                <c:pt idx="0">
                  <c:v>0.16300000000000001</c:v>
                </c:pt>
                <c:pt idx="1">
                  <c:v>8.9999999999999993E-3</c:v>
                </c:pt>
                <c:pt idx="2">
                  <c:v>0.318</c:v>
                </c:pt>
                <c:pt idx="3">
                  <c:v>0.35099999999999998</c:v>
                </c:pt>
                <c:pt idx="4">
                  <c:v>-0.16500000000000001</c:v>
                </c:pt>
                <c:pt idx="5">
                  <c:v>0.16500000000000001</c:v>
                </c:pt>
              </c:numCache>
            </c:numRef>
          </c:val>
          <c:extLst>
            <c:ext xmlns:c16="http://schemas.microsoft.com/office/drawing/2014/chart" uri="{C3380CC4-5D6E-409C-BE32-E72D297353CC}">
              <c16:uniqueId val="{00000001-A1DD-467C-916D-599D20A7953F}"/>
            </c:ext>
          </c:extLst>
        </c:ser>
        <c:dLbls>
          <c:showLegendKey val="0"/>
          <c:showVal val="0"/>
          <c:showCatName val="0"/>
          <c:showSerName val="0"/>
          <c:showPercent val="0"/>
          <c:showBubbleSize val="0"/>
        </c:dLbls>
        <c:gapWidth val="150"/>
        <c:axId val="79056896"/>
        <c:axId val="79058432"/>
      </c:barChart>
      <c:catAx>
        <c:axId val="79056896"/>
        <c:scaling>
          <c:orientation val="minMax"/>
        </c:scaling>
        <c:delete val="0"/>
        <c:axPos val="b"/>
        <c:numFmt formatCode="General" sourceLinked="0"/>
        <c:majorTickMark val="out"/>
        <c:minorTickMark val="none"/>
        <c:tickLblPos val="low"/>
        <c:txPr>
          <a:bodyPr rot="0" vert="horz"/>
          <a:lstStyle/>
          <a:p>
            <a:pPr>
              <a:defRPr/>
            </a:pPr>
            <a:endParaRPr lang="en-US"/>
          </a:p>
        </c:txPr>
        <c:crossAx val="79058432"/>
        <c:crosses val="autoZero"/>
        <c:auto val="1"/>
        <c:lblAlgn val="ctr"/>
        <c:lblOffset val="100"/>
        <c:noMultiLvlLbl val="0"/>
      </c:catAx>
      <c:valAx>
        <c:axId val="79058432"/>
        <c:scaling>
          <c:orientation val="minMax"/>
          <c:max val="0.5"/>
          <c:min val="-0.2"/>
        </c:scaling>
        <c:delete val="0"/>
        <c:axPos val="l"/>
        <c:majorGridlines/>
        <c:numFmt formatCode="0.000" sourceLinked="1"/>
        <c:majorTickMark val="out"/>
        <c:minorTickMark val="none"/>
        <c:tickLblPos val="nextTo"/>
        <c:crossAx val="79056896"/>
        <c:crosses val="autoZero"/>
        <c:crossBetween val="between"/>
      </c:valAx>
    </c:plotArea>
    <c:legend>
      <c:legendPos val="r"/>
      <c:layout>
        <c:manualLayout>
          <c:xMode val="edge"/>
          <c:yMode val="edge"/>
          <c:x val="0.120932544185857"/>
          <c:y val="0.127602533498342"/>
          <c:w val="0.65343044619422574"/>
          <c:h val="8.8731201217291195E-2"/>
        </c:manualLayout>
      </c:layout>
      <c:overlay val="0"/>
      <c:spPr>
        <a:solidFill>
          <a:schemeClr val="bg1"/>
        </a:solidFill>
        <a:ln w="6350">
          <a:solidFill>
            <a:schemeClr val="tx1"/>
          </a:solidFill>
          <a:prstDash val="solid"/>
        </a:ln>
      </c:spPr>
      <c:txPr>
        <a:bodyPr/>
        <a:lstStyle/>
        <a:p>
          <a:pPr>
            <a:defRPr sz="1100"/>
          </a:pPr>
          <a:endParaRPr lang="en-US"/>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dirty="0">
                <a:solidFill>
                  <a:srgbClr val="1F8C48"/>
                </a:solidFill>
              </a:rPr>
              <a:t>Simple Model: </a:t>
            </a:r>
            <a:r>
              <a:rPr lang="en-US" sz="1600" dirty="0">
                <a:solidFill>
                  <a:srgbClr val="020592"/>
                </a:solidFill>
              </a:rPr>
              <a:t>Pre-Application, Short-Run, </a:t>
            </a:r>
            <a:r>
              <a:rPr lang="en-US" sz="1600" baseline="0" dirty="0">
                <a:solidFill>
                  <a:srgbClr val="020592"/>
                </a:solidFill>
              </a:rPr>
              <a:t>Long-Run Effects</a:t>
            </a:r>
            <a:endParaRPr lang="en-US" sz="1600" dirty="0">
              <a:solidFill>
                <a:srgbClr val="020592"/>
              </a:solidFill>
            </a:endParaRPr>
          </a:p>
        </c:rich>
      </c:tx>
      <c:layout>
        <c:manualLayout>
          <c:xMode val="edge"/>
          <c:yMode val="edge"/>
          <c:x val="0.19521064301552099"/>
          <c:y val="2.1220165060580502E-2"/>
        </c:manualLayout>
      </c:layout>
      <c:overlay val="0"/>
    </c:title>
    <c:autoTitleDeleted val="0"/>
    <c:plotArea>
      <c:layout>
        <c:manualLayout>
          <c:layoutTarget val="inner"/>
          <c:xMode val="edge"/>
          <c:yMode val="edge"/>
          <c:x val="0.113089093030038"/>
          <c:y val="0.164723345392637"/>
          <c:w val="0.91001516491934298"/>
          <c:h val="0.71851116871312204"/>
        </c:manualLayout>
      </c:layout>
      <c:barChart>
        <c:barDir val="col"/>
        <c:grouping val="clustered"/>
        <c:varyColors val="0"/>
        <c:ser>
          <c:idx val="0"/>
          <c:order val="0"/>
          <c:tx>
            <c:v>Employment</c:v>
          </c:tx>
          <c:spPr>
            <a:solidFill>
              <a:srgbClr val="4F81BD"/>
            </a:solidFill>
          </c:spPr>
          <c:invertIfNegative val="0"/>
          <c:cat>
            <c:strRef>
              <c:f>'MI Earnings Timeline'!$N$9:$P$9</c:f>
              <c:strCache>
                <c:ptCount val="3"/>
                <c:pt idx="0">
                  <c:v>Pre-App</c:v>
                </c:pt>
                <c:pt idx="1">
                  <c:v>Short Run</c:v>
                </c:pt>
                <c:pt idx="2">
                  <c:v>Long Run</c:v>
                </c:pt>
              </c:strCache>
            </c:strRef>
          </c:cat>
          <c:val>
            <c:numRef>
              <c:f>'MI Earnings Timeline'!$N$11:$P$11</c:f>
              <c:numCache>
                <c:formatCode>0.000</c:formatCode>
                <c:ptCount val="3"/>
                <c:pt idx="0">
                  <c:v>-8.4080000000000002E-2</c:v>
                </c:pt>
                <c:pt idx="1">
                  <c:v>8.9279999999999998E-2</c:v>
                </c:pt>
                <c:pt idx="2">
                  <c:v>0.10632</c:v>
                </c:pt>
              </c:numCache>
            </c:numRef>
          </c:val>
          <c:extLst>
            <c:ext xmlns:c16="http://schemas.microsoft.com/office/drawing/2014/chart" uri="{C3380CC4-5D6E-409C-BE32-E72D297353CC}">
              <c16:uniqueId val="{00000000-98E7-4FD6-875E-922034D28FEA}"/>
            </c:ext>
          </c:extLst>
        </c:ser>
        <c:ser>
          <c:idx val="1"/>
          <c:order val="1"/>
          <c:tx>
            <c:v>Earnings</c:v>
          </c:tx>
          <c:spPr>
            <a:solidFill>
              <a:srgbClr val="C0504D"/>
            </a:solidFill>
          </c:spPr>
          <c:invertIfNegative val="0"/>
          <c:cat>
            <c:strRef>
              <c:f>'MI Earnings Timeline'!$N$9:$P$9</c:f>
              <c:strCache>
                <c:ptCount val="3"/>
                <c:pt idx="0">
                  <c:v>Pre-App</c:v>
                </c:pt>
                <c:pt idx="1">
                  <c:v>Short Run</c:v>
                </c:pt>
                <c:pt idx="2">
                  <c:v>Long Run</c:v>
                </c:pt>
              </c:strCache>
            </c:strRef>
          </c:cat>
          <c:val>
            <c:numRef>
              <c:f>'MI Earnings Timeline'!$N$12:$P$12</c:f>
              <c:numCache>
                <c:formatCode>0.000</c:formatCode>
                <c:ptCount val="3"/>
                <c:pt idx="0">
                  <c:v>-6.3899999999999998E-3</c:v>
                </c:pt>
                <c:pt idx="1">
                  <c:v>-5.1529999999999999E-2</c:v>
                </c:pt>
                <c:pt idx="2">
                  <c:v>-1.413E-2</c:v>
                </c:pt>
              </c:numCache>
            </c:numRef>
          </c:val>
          <c:extLst>
            <c:ext xmlns:c16="http://schemas.microsoft.com/office/drawing/2014/chart" uri="{C3380CC4-5D6E-409C-BE32-E72D297353CC}">
              <c16:uniqueId val="{00000001-98E7-4FD6-875E-922034D28FEA}"/>
            </c:ext>
          </c:extLst>
        </c:ser>
        <c:dLbls>
          <c:showLegendKey val="0"/>
          <c:showVal val="0"/>
          <c:showCatName val="0"/>
          <c:showSerName val="0"/>
          <c:showPercent val="0"/>
          <c:showBubbleSize val="0"/>
        </c:dLbls>
        <c:gapWidth val="176"/>
        <c:axId val="85663744"/>
        <c:axId val="85665280"/>
      </c:barChart>
      <c:catAx>
        <c:axId val="85663744"/>
        <c:scaling>
          <c:orientation val="minMax"/>
        </c:scaling>
        <c:delete val="0"/>
        <c:axPos val="b"/>
        <c:numFmt formatCode="General" sourceLinked="0"/>
        <c:majorTickMark val="out"/>
        <c:minorTickMark val="none"/>
        <c:tickLblPos val="low"/>
        <c:txPr>
          <a:bodyPr rot="0" vert="horz"/>
          <a:lstStyle/>
          <a:p>
            <a:pPr>
              <a:defRPr/>
            </a:pPr>
            <a:endParaRPr lang="en-US"/>
          </a:p>
        </c:txPr>
        <c:crossAx val="85665280"/>
        <c:crosses val="autoZero"/>
        <c:auto val="1"/>
        <c:lblAlgn val="ctr"/>
        <c:lblOffset val="100"/>
        <c:noMultiLvlLbl val="0"/>
      </c:catAx>
      <c:valAx>
        <c:axId val="85665280"/>
        <c:scaling>
          <c:orientation val="minMax"/>
          <c:max val="0.25"/>
          <c:min val="-0.2"/>
        </c:scaling>
        <c:delete val="0"/>
        <c:axPos val="l"/>
        <c:majorGridlines/>
        <c:numFmt formatCode="0.000" sourceLinked="1"/>
        <c:majorTickMark val="out"/>
        <c:minorTickMark val="none"/>
        <c:tickLblPos val="nextTo"/>
        <c:crossAx val="85663744"/>
        <c:crosses val="autoZero"/>
        <c:crossBetween val="between"/>
        <c:majorUnit val="0.1"/>
      </c:valAx>
    </c:plotArea>
    <c:legend>
      <c:legendPos val="r"/>
      <c:layout>
        <c:manualLayout>
          <c:xMode val="edge"/>
          <c:yMode val="edge"/>
          <c:x val="0.59986824263375105"/>
          <c:y val="0.78189095619957505"/>
          <c:w val="0.38676367723185701"/>
          <c:h val="8.8731201217291195E-2"/>
        </c:manualLayout>
      </c:layout>
      <c:overlay val="0"/>
      <c:spPr>
        <a:solidFill>
          <a:schemeClr val="bg1"/>
        </a:solidFill>
        <a:ln w="6350">
          <a:solidFill>
            <a:schemeClr val="tx1"/>
          </a:solidFill>
          <a:prstDash val="solid"/>
        </a:ln>
      </c:spPr>
      <c:txPr>
        <a:bodyPr/>
        <a:lstStyle/>
        <a:p>
          <a:pPr>
            <a:defRPr sz="1100"/>
          </a:pPr>
          <a:endParaRPr lang="en-US"/>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dirty="0">
                <a:solidFill>
                  <a:srgbClr val="1F8C48"/>
                </a:solidFill>
              </a:rPr>
              <a:t>VR-ROI Model:  </a:t>
            </a:r>
            <a:r>
              <a:rPr lang="en-US" sz="1600" dirty="0">
                <a:solidFill>
                  <a:srgbClr val="020592"/>
                </a:solidFill>
              </a:rPr>
              <a:t>Long-Run Effects </a:t>
            </a:r>
          </a:p>
          <a:p>
            <a:pPr>
              <a:defRPr/>
            </a:pPr>
            <a:r>
              <a:rPr lang="en-US" sz="1600" dirty="0">
                <a:solidFill>
                  <a:srgbClr val="020592"/>
                </a:solidFill>
              </a:rPr>
              <a:t>by Service Type</a:t>
            </a:r>
          </a:p>
        </c:rich>
      </c:tx>
      <c:layout>
        <c:manualLayout>
          <c:xMode val="edge"/>
          <c:yMode val="edge"/>
          <c:x val="0.22634698021822225"/>
          <c:y val="3.5366806659324289E-3"/>
        </c:manualLayout>
      </c:layout>
      <c:overlay val="0"/>
    </c:title>
    <c:autoTitleDeleted val="0"/>
    <c:plotArea>
      <c:layout>
        <c:manualLayout>
          <c:layoutTarget val="inner"/>
          <c:xMode val="edge"/>
          <c:yMode val="edge"/>
          <c:x val="7.1547870288731497E-2"/>
          <c:y val="0.169227753079709"/>
          <c:w val="0.91001516491934298"/>
          <c:h val="0.71851116871312204"/>
        </c:manualLayout>
      </c:layout>
      <c:barChart>
        <c:barDir val="col"/>
        <c:grouping val="clustered"/>
        <c:varyColors val="0"/>
        <c:ser>
          <c:idx val="0"/>
          <c:order val="0"/>
          <c:tx>
            <c:v>Employment</c:v>
          </c:tx>
          <c:spPr>
            <a:solidFill>
              <a:srgbClr val="4F81BD"/>
            </a:solidFill>
          </c:spPr>
          <c:invertIfNegative val="0"/>
          <c:cat>
            <c:strRef>
              <c:f>MI!$A$24:$A$29</c:f>
              <c:strCache>
                <c:ptCount val="6"/>
                <c:pt idx="0">
                  <c:v>Diag</c:v>
                </c:pt>
                <c:pt idx="1">
                  <c:v>Train</c:v>
                </c:pt>
                <c:pt idx="2">
                  <c:v>Educ</c:v>
                </c:pt>
                <c:pt idx="3">
                  <c:v>Rstr</c:v>
                </c:pt>
                <c:pt idx="4">
                  <c:v>Maint</c:v>
                </c:pt>
                <c:pt idx="5">
                  <c:v>Other</c:v>
                </c:pt>
              </c:strCache>
            </c:strRef>
          </c:cat>
          <c:val>
            <c:numRef>
              <c:f>MI!$G$24:$G$29</c:f>
              <c:numCache>
                <c:formatCode>0.000</c:formatCode>
                <c:ptCount val="6"/>
                <c:pt idx="0">
                  <c:v>-0.18479999999999999</c:v>
                </c:pt>
                <c:pt idx="1">
                  <c:v>0.21640000000000001</c:v>
                </c:pt>
                <c:pt idx="2">
                  <c:v>-4.5199999999999997E-2</c:v>
                </c:pt>
                <c:pt idx="3">
                  <c:v>-5.0799999999999998E-2</c:v>
                </c:pt>
                <c:pt idx="4">
                  <c:v>-2.9600000000000001E-2</c:v>
                </c:pt>
                <c:pt idx="5">
                  <c:v>1.9599999999999999E-2</c:v>
                </c:pt>
              </c:numCache>
            </c:numRef>
          </c:val>
          <c:extLst>
            <c:ext xmlns:c16="http://schemas.microsoft.com/office/drawing/2014/chart" uri="{C3380CC4-5D6E-409C-BE32-E72D297353CC}">
              <c16:uniqueId val="{00000000-5423-44F7-8C8E-B31EF9B5CEB8}"/>
            </c:ext>
          </c:extLst>
        </c:ser>
        <c:ser>
          <c:idx val="1"/>
          <c:order val="1"/>
          <c:tx>
            <c:v>Earnings</c:v>
          </c:tx>
          <c:spPr>
            <a:solidFill>
              <a:srgbClr val="C0504D"/>
            </a:solidFill>
          </c:spPr>
          <c:invertIfNegative val="0"/>
          <c:cat>
            <c:strRef>
              <c:f>MI!$A$24:$A$29</c:f>
              <c:strCache>
                <c:ptCount val="6"/>
                <c:pt idx="0">
                  <c:v>Diag</c:v>
                </c:pt>
                <c:pt idx="1">
                  <c:v>Train</c:v>
                </c:pt>
                <c:pt idx="2">
                  <c:v>Educ</c:v>
                </c:pt>
                <c:pt idx="3">
                  <c:v>Rstr</c:v>
                </c:pt>
                <c:pt idx="4">
                  <c:v>Maint</c:v>
                </c:pt>
                <c:pt idx="5">
                  <c:v>Other</c:v>
                </c:pt>
              </c:strCache>
            </c:strRef>
          </c:cat>
          <c:val>
            <c:numRef>
              <c:f>MI!$I$24:$I$29</c:f>
              <c:numCache>
                <c:formatCode>0.000</c:formatCode>
                <c:ptCount val="6"/>
                <c:pt idx="0">
                  <c:v>3.2000000000000001E-2</c:v>
                </c:pt>
                <c:pt idx="1">
                  <c:v>0.13600000000000001</c:v>
                </c:pt>
                <c:pt idx="2">
                  <c:v>0.14599999999999999</c:v>
                </c:pt>
                <c:pt idx="3">
                  <c:v>0.20599999999999999</c:v>
                </c:pt>
                <c:pt idx="4">
                  <c:v>0.217</c:v>
                </c:pt>
                <c:pt idx="5">
                  <c:v>0.14599999999999999</c:v>
                </c:pt>
              </c:numCache>
            </c:numRef>
          </c:val>
          <c:extLst>
            <c:ext xmlns:c16="http://schemas.microsoft.com/office/drawing/2014/chart" uri="{C3380CC4-5D6E-409C-BE32-E72D297353CC}">
              <c16:uniqueId val="{00000001-5423-44F7-8C8E-B31EF9B5CEB8}"/>
            </c:ext>
          </c:extLst>
        </c:ser>
        <c:dLbls>
          <c:showLegendKey val="0"/>
          <c:showVal val="0"/>
          <c:showCatName val="0"/>
          <c:showSerName val="0"/>
          <c:showPercent val="0"/>
          <c:showBubbleSize val="0"/>
        </c:dLbls>
        <c:gapWidth val="150"/>
        <c:axId val="85472000"/>
        <c:axId val="85473536"/>
      </c:barChart>
      <c:catAx>
        <c:axId val="85472000"/>
        <c:scaling>
          <c:orientation val="minMax"/>
        </c:scaling>
        <c:delete val="0"/>
        <c:axPos val="b"/>
        <c:numFmt formatCode="General" sourceLinked="0"/>
        <c:majorTickMark val="out"/>
        <c:minorTickMark val="none"/>
        <c:tickLblPos val="low"/>
        <c:txPr>
          <a:bodyPr rot="0" vert="horz"/>
          <a:lstStyle/>
          <a:p>
            <a:pPr>
              <a:defRPr/>
            </a:pPr>
            <a:endParaRPr lang="en-US"/>
          </a:p>
        </c:txPr>
        <c:crossAx val="85473536"/>
        <c:crosses val="autoZero"/>
        <c:auto val="1"/>
        <c:lblAlgn val="ctr"/>
        <c:lblOffset val="100"/>
        <c:noMultiLvlLbl val="0"/>
      </c:catAx>
      <c:valAx>
        <c:axId val="85473536"/>
        <c:scaling>
          <c:orientation val="minMax"/>
          <c:max val="0.25"/>
          <c:min val="-0.2"/>
        </c:scaling>
        <c:delete val="0"/>
        <c:axPos val="l"/>
        <c:majorGridlines/>
        <c:numFmt formatCode="0.000" sourceLinked="1"/>
        <c:majorTickMark val="out"/>
        <c:minorTickMark val="none"/>
        <c:tickLblPos val="nextTo"/>
        <c:crossAx val="85472000"/>
        <c:crosses val="autoZero"/>
        <c:crossBetween val="between"/>
        <c:majorUnit val="0.1"/>
      </c:valAx>
    </c:plotArea>
    <c:legend>
      <c:legendPos val="r"/>
      <c:layout>
        <c:manualLayout>
          <c:xMode val="edge"/>
          <c:yMode val="edge"/>
          <c:x val="0.58804266983256803"/>
          <c:y val="0.75359740278546705"/>
          <c:w val="0.38676367723185701"/>
          <c:h val="8.1657812863764306E-2"/>
        </c:manualLayout>
      </c:layout>
      <c:overlay val="0"/>
      <c:spPr>
        <a:solidFill>
          <a:schemeClr val="bg1"/>
        </a:solidFill>
        <a:ln w="6350">
          <a:solidFill>
            <a:sysClr val="window" lastClr="FFFFFF"/>
          </a:solidFill>
          <a:prstDash val="solid"/>
        </a:ln>
      </c:spPr>
      <c:txPr>
        <a:bodyPr/>
        <a:lstStyle/>
        <a:p>
          <a:pPr>
            <a:defRPr sz="110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dirty="0">
                <a:solidFill>
                  <a:srgbClr val="020592"/>
                </a:solidFill>
              </a:rPr>
              <a:t>Long-Run (LR) Effects</a:t>
            </a:r>
          </a:p>
        </c:rich>
      </c:tx>
      <c:overlay val="0"/>
    </c:title>
    <c:autoTitleDeleted val="0"/>
    <c:plotArea>
      <c:layout>
        <c:manualLayout>
          <c:layoutTarget val="inner"/>
          <c:xMode val="edge"/>
          <c:yMode val="edge"/>
          <c:x val="7.1547870288731497E-2"/>
          <c:y val="0.12678735687680601"/>
          <c:w val="0.91001516491934298"/>
          <c:h val="0.76095143485606598"/>
        </c:manualLayout>
      </c:layout>
      <c:barChart>
        <c:barDir val="col"/>
        <c:grouping val="clustered"/>
        <c:varyColors val="0"/>
        <c:ser>
          <c:idx val="0"/>
          <c:order val="0"/>
          <c:tx>
            <c:v>Employment</c:v>
          </c:tx>
          <c:spPr>
            <a:solidFill>
              <a:srgbClr val="4F81BD"/>
            </a:solidFill>
          </c:spPr>
          <c:invertIfNegative val="0"/>
          <c:cat>
            <c:strRef>
              <c:f>MI!$A$24:$A$29</c:f>
              <c:strCache>
                <c:ptCount val="6"/>
                <c:pt idx="0">
                  <c:v>Diag</c:v>
                </c:pt>
                <c:pt idx="1">
                  <c:v>Train</c:v>
                </c:pt>
                <c:pt idx="2">
                  <c:v>Educ</c:v>
                </c:pt>
                <c:pt idx="3">
                  <c:v>Rstr</c:v>
                </c:pt>
                <c:pt idx="4">
                  <c:v>Maint</c:v>
                </c:pt>
                <c:pt idx="5">
                  <c:v>Other</c:v>
                </c:pt>
              </c:strCache>
            </c:strRef>
          </c:cat>
          <c:val>
            <c:numRef>
              <c:f>MI!$G$24:$G$29</c:f>
              <c:numCache>
                <c:formatCode>0.000</c:formatCode>
                <c:ptCount val="6"/>
                <c:pt idx="0">
                  <c:v>-0.18479999999999999</c:v>
                </c:pt>
                <c:pt idx="1">
                  <c:v>0.21640000000000001</c:v>
                </c:pt>
                <c:pt idx="2">
                  <c:v>-4.5199999999999997E-2</c:v>
                </c:pt>
                <c:pt idx="3">
                  <c:v>-5.0799999999999998E-2</c:v>
                </c:pt>
                <c:pt idx="4">
                  <c:v>-2.9600000000000001E-2</c:v>
                </c:pt>
                <c:pt idx="5">
                  <c:v>1.9599999999999999E-2</c:v>
                </c:pt>
              </c:numCache>
            </c:numRef>
          </c:val>
          <c:extLst>
            <c:ext xmlns:c16="http://schemas.microsoft.com/office/drawing/2014/chart" uri="{C3380CC4-5D6E-409C-BE32-E72D297353CC}">
              <c16:uniqueId val="{00000000-071D-4254-9F66-626DFEC59A87}"/>
            </c:ext>
          </c:extLst>
        </c:ser>
        <c:ser>
          <c:idx val="1"/>
          <c:order val="1"/>
          <c:tx>
            <c:v>Earnings</c:v>
          </c:tx>
          <c:spPr>
            <a:solidFill>
              <a:srgbClr val="C0504D"/>
            </a:solidFill>
          </c:spPr>
          <c:invertIfNegative val="0"/>
          <c:cat>
            <c:strRef>
              <c:f>MI!$A$24:$A$29</c:f>
              <c:strCache>
                <c:ptCount val="6"/>
                <c:pt idx="0">
                  <c:v>Diag</c:v>
                </c:pt>
                <c:pt idx="1">
                  <c:v>Train</c:v>
                </c:pt>
                <c:pt idx="2">
                  <c:v>Educ</c:v>
                </c:pt>
                <c:pt idx="3">
                  <c:v>Rstr</c:v>
                </c:pt>
                <c:pt idx="4">
                  <c:v>Maint</c:v>
                </c:pt>
                <c:pt idx="5">
                  <c:v>Other</c:v>
                </c:pt>
              </c:strCache>
            </c:strRef>
          </c:cat>
          <c:val>
            <c:numRef>
              <c:f>MI!$I$24:$I$29</c:f>
              <c:numCache>
                <c:formatCode>0.000</c:formatCode>
                <c:ptCount val="6"/>
                <c:pt idx="0">
                  <c:v>3.2000000000000001E-2</c:v>
                </c:pt>
                <c:pt idx="1">
                  <c:v>0.13600000000000001</c:v>
                </c:pt>
                <c:pt idx="2">
                  <c:v>0.14599999999999999</c:v>
                </c:pt>
                <c:pt idx="3">
                  <c:v>0.20599999999999999</c:v>
                </c:pt>
                <c:pt idx="4">
                  <c:v>0.217</c:v>
                </c:pt>
                <c:pt idx="5">
                  <c:v>0.14599999999999999</c:v>
                </c:pt>
              </c:numCache>
            </c:numRef>
          </c:val>
          <c:extLst>
            <c:ext xmlns:c16="http://schemas.microsoft.com/office/drawing/2014/chart" uri="{C3380CC4-5D6E-409C-BE32-E72D297353CC}">
              <c16:uniqueId val="{00000001-071D-4254-9F66-626DFEC59A87}"/>
            </c:ext>
          </c:extLst>
        </c:ser>
        <c:dLbls>
          <c:showLegendKey val="0"/>
          <c:showVal val="0"/>
          <c:showCatName val="0"/>
          <c:showSerName val="0"/>
          <c:showPercent val="0"/>
          <c:showBubbleSize val="0"/>
        </c:dLbls>
        <c:gapWidth val="150"/>
        <c:axId val="40411520"/>
        <c:axId val="40413056"/>
      </c:barChart>
      <c:catAx>
        <c:axId val="40411520"/>
        <c:scaling>
          <c:orientation val="minMax"/>
        </c:scaling>
        <c:delete val="0"/>
        <c:axPos val="b"/>
        <c:numFmt formatCode="General" sourceLinked="0"/>
        <c:majorTickMark val="out"/>
        <c:minorTickMark val="none"/>
        <c:tickLblPos val="low"/>
        <c:txPr>
          <a:bodyPr rot="0" vert="horz"/>
          <a:lstStyle/>
          <a:p>
            <a:pPr>
              <a:defRPr/>
            </a:pPr>
            <a:endParaRPr lang="en-US"/>
          </a:p>
        </c:txPr>
        <c:crossAx val="40413056"/>
        <c:crosses val="autoZero"/>
        <c:auto val="1"/>
        <c:lblAlgn val="ctr"/>
        <c:lblOffset val="100"/>
        <c:noMultiLvlLbl val="0"/>
      </c:catAx>
      <c:valAx>
        <c:axId val="40413056"/>
        <c:scaling>
          <c:orientation val="minMax"/>
          <c:min val="-0.2"/>
        </c:scaling>
        <c:delete val="0"/>
        <c:axPos val="l"/>
        <c:majorGridlines/>
        <c:numFmt formatCode="0.000" sourceLinked="1"/>
        <c:majorTickMark val="out"/>
        <c:minorTickMark val="none"/>
        <c:tickLblPos val="nextTo"/>
        <c:crossAx val="40411520"/>
        <c:crosses val="autoZero"/>
        <c:crossBetween val="between"/>
        <c:majorUnit val="0.1"/>
      </c:valAx>
    </c:plotArea>
    <c:legend>
      <c:legendPos val="r"/>
      <c:layout>
        <c:manualLayout>
          <c:xMode val="edge"/>
          <c:yMode val="edge"/>
          <c:x val="0.59691184943345499"/>
          <c:y val="0.141749310205396"/>
          <c:w val="0.38676367723185701"/>
          <c:h val="8.1657812863764306E-2"/>
        </c:manualLayout>
      </c:layout>
      <c:overlay val="0"/>
      <c:spPr>
        <a:solidFill>
          <a:schemeClr val="bg1"/>
        </a:solidFill>
        <a:ln w="6350">
          <a:solidFill>
            <a:sysClr val="windowText" lastClr="000000"/>
          </a:solidFill>
          <a:prstDash val="solid"/>
        </a:ln>
      </c:spPr>
      <c:txPr>
        <a:bodyPr/>
        <a:lstStyle/>
        <a:p>
          <a:pPr>
            <a:defRPr sz="1100"/>
          </a:pPr>
          <a:endParaRPr lang="en-US"/>
        </a:p>
      </c:txPr>
    </c:legend>
    <c:plotVisOnly val="1"/>
    <c:dispBlanksAs val="gap"/>
    <c:showDLblsOverMax val="0"/>
  </c:chart>
  <c:spPr>
    <a:ln>
      <a:solidFill>
        <a:srgbClr val="FFB91D"/>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dirty="0">
                <a:solidFill>
                  <a:srgbClr val="020592"/>
                </a:solidFill>
              </a:rPr>
              <a:t>Short-Run (SR) Effects</a:t>
            </a:r>
          </a:p>
        </c:rich>
      </c:tx>
      <c:overlay val="0"/>
    </c:title>
    <c:autoTitleDeleted val="0"/>
    <c:plotArea>
      <c:layout>
        <c:manualLayout>
          <c:layoutTarget val="inner"/>
          <c:xMode val="edge"/>
          <c:yMode val="edge"/>
          <c:x val="7.1547870288731497E-2"/>
          <c:y val="0.12678735687680601"/>
          <c:w val="0.91001516491934298"/>
          <c:h val="0.76095143485606598"/>
        </c:manualLayout>
      </c:layout>
      <c:barChart>
        <c:barDir val="col"/>
        <c:grouping val="clustered"/>
        <c:varyColors val="0"/>
        <c:ser>
          <c:idx val="0"/>
          <c:order val="0"/>
          <c:tx>
            <c:v>Employment</c:v>
          </c:tx>
          <c:spPr>
            <a:solidFill>
              <a:srgbClr val="4F81BD"/>
            </a:solidFill>
          </c:spPr>
          <c:invertIfNegative val="0"/>
          <c:cat>
            <c:strRef>
              <c:f>MI!$A$24:$A$29</c:f>
              <c:strCache>
                <c:ptCount val="6"/>
                <c:pt idx="0">
                  <c:v>Diag</c:v>
                </c:pt>
                <c:pt idx="1">
                  <c:v>Train</c:v>
                </c:pt>
                <c:pt idx="2">
                  <c:v>Educ</c:v>
                </c:pt>
                <c:pt idx="3">
                  <c:v>Rstr</c:v>
                </c:pt>
                <c:pt idx="4">
                  <c:v>Maint</c:v>
                </c:pt>
                <c:pt idx="5">
                  <c:v>Other</c:v>
                </c:pt>
              </c:strCache>
            </c:strRef>
          </c:cat>
          <c:val>
            <c:numRef>
              <c:f>MI!$F$24:$F$29</c:f>
              <c:numCache>
                <c:formatCode>0.000</c:formatCode>
                <c:ptCount val="6"/>
                <c:pt idx="0">
                  <c:v>-9.1200000000000003E-2</c:v>
                </c:pt>
                <c:pt idx="1">
                  <c:v>0.25240000000000001</c:v>
                </c:pt>
                <c:pt idx="2">
                  <c:v>-0.1196</c:v>
                </c:pt>
                <c:pt idx="3">
                  <c:v>-6.80000000000001E-3</c:v>
                </c:pt>
                <c:pt idx="4">
                  <c:v>-6.5199999999999994E-2</c:v>
                </c:pt>
                <c:pt idx="5">
                  <c:v>5.1200000000000002E-2</c:v>
                </c:pt>
              </c:numCache>
            </c:numRef>
          </c:val>
          <c:extLst>
            <c:ext xmlns:c16="http://schemas.microsoft.com/office/drawing/2014/chart" uri="{C3380CC4-5D6E-409C-BE32-E72D297353CC}">
              <c16:uniqueId val="{00000000-E8B5-4374-BDF7-8E93708A6D87}"/>
            </c:ext>
          </c:extLst>
        </c:ser>
        <c:ser>
          <c:idx val="1"/>
          <c:order val="1"/>
          <c:tx>
            <c:v>Earnings</c:v>
          </c:tx>
          <c:spPr>
            <a:solidFill>
              <a:srgbClr val="C0504D"/>
            </a:solidFill>
          </c:spPr>
          <c:invertIfNegative val="0"/>
          <c:cat>
            <c:strRef>
              <c:f>MI!$A$24:$A$29</c:f>
              <c:strCache>
                <c:ptCount val="6"/>
                <c:pt idx="0">
                  <c:v>Diag</c:v>
                </c:pt>
                <c:pt idx="1">
                  <c:v>Train</c:v>
                </c:pt>
                <c:pt idx="2">
                  <c:v>Educ</c:v>
                </c:pt>
                <c:pt idx="3">
                  <c:v>Rstr</c:v>
                </c:pt>
                <c:pt idx="4">
                  <c:v>Maint</c:v>
                </c:pt>
                <c:pt idx="5">
                  <c:v>Other</c:v>
                </c:pt>
              </c:strCache>
            </c:strRef>
          </c:cat>
          <c:val>
            <c:numRef>
              <c:f>MI!$D$24:$D$29</c:f>
              <c:numCache>
                <c:formatCode>0.000</c:formatCode>
                <c:ptCount val="6"/>
                <c:pt idx="0">
                  <c:v>-8.5000000000000006E-2</c:v>
                </c:pt>
                <c:pt idx="1">
                  <c:v>-5.5E-2</c:v>
                </c:pt>
                <c:pt idx="2">
                  <c:v>-8.5000000000000006E-2</c:v>
                </c:pt>
                <c:pt idx="3">
                  <c:v>9.1999999999999998E-2</c:v>
                </c:pt>
                <c:pt idx="4">
                  <c:v>0.106</c:v>
                </c:pt>
                <c:pt idx="5">
                  <c:v>8.4000000000000005E-2</c:v>
                </c:pt>
              </c:numCache>
            </c:numRef>
          </c:val>
          <c:extLst>
            <c:ext xmlns:c16="http://schemas.microsoft.com/office/drawing/2014/chart" uri="{C3380CC4-5D6E-409C-BE32-E72D297353CC}">
              <c16:uniqueId val="{00000001-E8B5-4374-BDF7-8E93708A6D87}"/>
            </c:ext>
          </c:extLst>
        </c:ser>
        <c:dLbls>
          <c:showLegendKey val="0"/>
          <c:showVal val="0"/>
          <c:showCatName val="0"/>
          <c:showSerName val="0"/>
          <c:showPercent val="0"/>
          <c:showBubbleSize val="0"/>
        </c:dLbls>
        <c:gapWidth val="150"/>
        <c:axId val="40488320"/>
        <c:axId val="40494208"/>
      </c:barChart>
      <c:catAx>
        <c:axId val="40488320"/>
        <c:scaling>
          <c:orientation val="minMax"/>
        </c:scaling>
        <c:delete val="0"/>
        <c:axPos val="b"/>
        <c:numFmt formatCode="General" sourceLinked="0"/>
        <c:majorTickMark val="out"/>
        <c:minorTickMark val="none"/>
        <c:tickLblPos val="low"/>
        <c:txPr>
          <a:bodyPr rot="0" vert="horz"/>
          <a:lstStyle/>
          <a:p>
            <a:pPr>
              <a:defRPr/>
            </a:pPr>
            <a:endParaRPr lang="en-US"/>
          </a:p>
        </c:txPr>
        <c:crossAx val="40494208"/>
        <c:crosses val="autoZero"/>
        <c:auto val="1"/>
        <c:lblAlgn val="ctr"/>
        <c:lblOffset val="100"/>
        <c:noMultiLvlLbl val="0"/>
      </c:catAx>
      <c:valAx>
        <c:axId val="40494208"/>
        <c:scaling>
          <c:orientation val="minMax"/>
          <c:min val="-0.2"/>
        </c:scaling>
        <c:delete val="0"/>
        <c:axPos val="l"/>
        <c:majorGridlines/>
        <c:numFmt formatCode="0.000" sourceLinked="1"/>
        <c:majorTickMark val="out"/>
        <c:minorTickMark val="none"/>
        <c:tickLblPos val="nextTo"/>
        <c:crossAx val="40488320"/>
        <c:crosses val="autoZero"/>
        <c:crossBetween val="between"/>
        <c:majorUnit val="0.1"/>
      </c:valAx>
    </c:plotArea>
    <c:legend>
      <c:legendPos val="r"/>
      <c:layout>
        <c:manualLayout>
          <c:xMode val="edge"/>
          <c:yMode val="edge"/>
          <c:x val="0.59986824263375105"/>
          <c:y val="0.141749310205396"/>
          <c:w val="0.38676367723185701"/>
          <c:h val="8.8731201217291195E-2"/>
        </c:manualLayout>
      </c:layout>
      <c:overlay val="0"/>
      <c:spPr>
        <a:solidFill>
          <a:schemeClr val="bg1"/>
        </a:solidFill>
        <a:ln w="6350">
          <a:solidFill>
            <a:sysClr val="windowText" lastClr="000000"/>
          </a:solidFill>
          <a:prstDash val="solid"/>
        </a:ln>
      </c:spPr>
      <c:txPr>
        <a:bodyPr/>
        <a:lstStyle/>
        <a:p>
          <a:pPr>
            <a:defRPr sz="1100"/>
          </a:pPr>
          <a:endParaRPr lang="en-US"/>
        </a:p>
      </c:txPr>
    </c:legend>
    <c:plotVisOnly val="1"/>
    <c:dispBlanksAs val="gap"/>
    <c:showDLblsOverMax val="0"/>
  </c:chart>
  <c:spPr>
    <a:ln>
      <a:solidFill>
        <a:srgbClr val="FFB91D"/>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solidFill>
                  <a:srgbClr val="020592"/>
                </a:solidFill>
              </a:rPr>
              <a:t>Short-Run Effects</a:t>
            </a:r>
          </a:p>
        </c:rich>
      </c:tx>
      <c:overlay val="0"/>
    </c:title>
    <c:autoTitleDeleted val="0"/>
    <c:plotArea>
      <c:layout>
        <c:manualLayout>
          <c:layoutTarget val="inner"/>
          <c:xMode val="edge"/>
          <c:yMode val="edge"/>
          <c:x val="7.1547870288731497E-2"/>
          <c:y val="0.12678735687680601"/>
          <c:w val="0.91001516491934298"/>
          <c:h val="0.76095143485606598"/>
        </c:manualLayout>
      </c:layout>
      <c:barChart>
        <c:barDir val="col"/>
        <c:grouping val="clustered"/>
        <c:varyColors val="0"/>
        <c:ser>
          <c:idx val="0"/>
          <c:order val="0"/>
          <c:tx>
            <c:v>Employment</c:v>
          </c:tx>
          <c:spPr>
            <a:solidFill>
              <a:srgbClr val="4F81BD"/>
            </a:solidFill>
          </c:spPr>
          <c:invertIfNegative val="0"/>
          <c:cat>
            <c:strRef>
              <c:f>CI!$A$24:$A$29</c:f>
              <c:strCache>
                <c:ptCount val="6"/>
                <c:pt idx="0">
                  <c:v>Diag</c:v>
                </c:pt>
                <c:pt idx="1">
                  <c:v>Train</c:v>
                </c:pt>
                <c:pt idx="2">
                  <c:v>Educ</c:v>
                </c:pt>
                <c:pt idx="3">
                  <c:v>Rstr</c:v>
                </c:pt>
                <c:pt idx="4">
                  <c:v>Maint</c:v>
                </c:pt>
                <c:pt idx="5">
                  <c:v>Other</c:v>
                </c:pt>
              </c:strCache>
            </c:strRef>
          </c:cat>
          <c:val>
            <c:numRef>
              <c:f>CI!$F$24:$F$29</c:f>
              <c:numCache>
                <c:formatCode>0.000</c:formatCode>
                <c:ptCount val="6"/>
                <c:pt idx="0">
                  <c:v>0.16880000000000001</c:v>
                </c:pt>
                <c:pt idx="1">
                  <c:v>0.27760000000000001</c:v>
                </c:pt>
                <c:pt idx="2">
                  <c:v>4.8800000000000003E-2</c:v>
                </c:pt>
                <c:pt idx="3">
                  <c:v>-0.13239999999999999</c:v>
                </c:pt>
                <c:pt idx="4">
                  <c:v>-4.9599999999999998E-2</c:v>
                </c:pt>
                <c:pt idx="5">
                  <c:v>0.1532</c:v>
                </c:pt>
              </c:numCache>
            </c:numRef>
          </c:val>
          <c:extLst>
            <c:ext xmlns:c16="http://schemas.microsoft.com/office/drawing/2014/chart" uri="{C3380CC4-5D6E-409C-BE32-E72D297353CC}">
              <c16:uniqueId val="{00000000-F3F5-454A-B705-E72EF3D55A3E}"/>
            </c:ext>
          </c:extLst>
        </c:ser>
        <c:ser>
          <c:idx val="1"/>
          <c:order val="1"/>
          <c:tx>
            <c:v>Earnings</c:v>
          </c:tx>
          <c:spPr>
            <a:solidFill>
              <a:srgbClr val="C0504D"/>
            </a:solidFill>
          </c:spPr>
          <c:invertIfNegative val="0"/>
          <c:cat>
            <c:strRef>
              <c:f>CI!$A$24:$A$29</c:f>
              <c:strCache>
                <c:ptCount val="6"/>
                <c:pt idx="0">
                  <c:v>Diag</c:v>
                </c:pt>
                <c:pt idx="1">
                  <c:v>Train</c:v>
                </c:pt>
                <c:pt idx="2">
                  <c:v>Educ</c:v>
                </c:pt>
                <c:pt idx="3">
                  <c:v>Rstr</c:v>
                </c:pt>
                <c:pt idx="4">
                  <c:v>Maint</c:v>
                </c:pt>
                <c:pt idx="5">
                  <c:v>Other</c:v>
                </c:pt>
              </c:strCache>
            </c:strRef>
          </c:cat>
          <c:val>
            <c:numRef>
              <c:f>CI!$D$24:$D$29</c:f>
              <c:numCache>
                <c:formatCode>0.000</c:formatCode>
                <c:ptCount val="6"/>
                <c:pt idx="0">
                  <c:v>0.3</c:v>
                </c:pt>
                <c:pt idx="1">
                  <c:v>0.20899999999999999</c:v>
                </c:pt>
                <c:pt idx="2">
                  <c:v>9.2999999999999999E-2</c:v>
                </c:pt>
                <c:pt idx="3">
                  <c:v>-0.308</c:v>
                </c:pt>
                <c:pt idx="4">
                  <c:v>-0.251</c:v>
                </c:pt>
                <c:pt idx="5">
                  <c:v>0.308</c:v>
                </c:pt>
              </c:numCache>
            </c:numRef>
          </c:val>
          <c:extLst>
            <c:ext xmlns:c16="http://schemas.microsoft.com/office/drawing/2014/chart" uri="{C3380CC4-5D6E-409C-BE32-E72D297353CC}">
              <c16:uniqueId val="{00000001-F3F5-454A-B705-E72EF3D55A3E}"/>
            </c:ext>
          </c:extLst>
        </c:ser>
        <c:dLbls>
          <c:showLegendKey val="0"/>
          <c:showVal val="0"/>
          <c:showCatName val="0"/>
          <c:showSerName val="0"/>
          <c:showPercent val="0"/>
          <c:showBubbleSize val="0"/>
        </c:dLbls>
        <c:gapWidth val="150"/>
        <c:axId val="39074432"/>
        <c:axId val="39088512"/>
      </c:barChart>
      <c:catAx>
        <c:axId val="39074432"/>
        <c:scaling>
          <c:orientation val="minMax"/>
        </c:scaling>
        <c:delete val="0"/>
        <c:axPos val="b"/>
        <c:numFmt formatCode="General" sourceLinked="0"/>
        <c:majorTickMark val="out"/>
        <c:minorTickMark val="none"/>
        <c:tickLblPos val="low"/>
        <c:txPr>
          <a:bodyPr rot="0" vert="horz"/>
          <a:lstStyle/>
          <a:p>
            <a:pPr>
              <a:defRPr/>
            </a:pPr>
            <a:endParaRPr lang="en-US"/>
          </a:p>
        </c:txPr>
        <c:crossAx val="39088512"/>
        <c:crosses val="autoZero"/>
        <c:auto val="1"/>
        <c:lblAlgn val="ctr"/>
        <c:lblOffset val="100"/>
        <c:noMultiLvlLbl val="0"/>
      </c:catAx>
      <c:valAx>
        <c:axId val="39088512"/>
        <c:scaling>
          <c:orientation val="minMax"/>
          <c:max val="0.6"/>
        </c:scaling>
        <c:delete val="0"/>
        <c:axPos val="l"/>
        <c:majorGridlines/>
        <c:numFmt formatCode="0.000" sourceLinked="1"/>
        <c:majorTickMark val="out"/>
        <c:minorTickMark val="none"/>
        <c:tickLblPos val="nextTo"/>
        <c:crossAx val="39074432"/>
        <c:crosses val="autoZero"/>
        <c:crossBetween val="between"/>
        <c:majorUnit val="0.2"/>
      </c:valAx>
    </c:plotArea>
    <c:legend>
      <c:legendPos val="r"/>
      <c:layout>
        <c:manualLayout>
          <c:xMode val="edge"/>
          <c:yMode val="edge"/>
          <c:x val="0.59397867075384103"/>
          <c:y val="0.13541324192149601"/>
          <c:w val="0.38676367723185701"/>
          <c:h val="8.8731201217291195E-2"/>
        </c:manualLayout>
      </c:layout>
      <c:overlay val="0"/>
      <c:spPr>
        <a:solidFill>
          <a:schemeClr val="bg1"/>
        </a:solidFill>
        <a:ln w="6350">
          <a:solidFill>
            <a:sysClr val="windowText" lastClr="000000"/>
          </a:solidFill>
          <a:prstDash val="solid"/>
        </a:ln>
      </c:spPr>
      <c:txPr>
        <a:bodyPr/>
        <a:lstStyle/>
        <a:p>
          <a:pPr>
            <a:defRPr sz="1100"/>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solidFill>
                  <a:srgbClr val="020592"/>
                </a:solidFill>
              </a:rPr>
              <a:t>Long-Run Effects</a:t>
            </a:r>
          </a:p>
        </c:rich>
      </c:tx>
      <c:overlay val="0"/>
    </c:title>
    <c:autoTitleDeleted val="0"/>
    <c:plotArea>
      <c:layout>
        <c:manualLayout>
          <c:layoutTarget val="inner"/>
          <c:xMode val="edge"/>
          <c:yMode val="edge"/>
          <c:x val="7.1547870288731497E-2"/>
          <c:y val="0.12678735687680601"/>
          <c:w val="0.91001516491934298"/>
          <c:h val="0.76095143485606598"/>
        </c:manualLayout>
      </c:layout>
      <c:barChart>
        <c:barDir val="col"/>
        <c:grouping val="clustered"/>
        <c:varyColors val="0"/>
        <c:ser>
          <c:idx val="0"/>
          <c:order val="0"/>
          <c:tx>
            <c:v>Employment</c:v>
          </c:tx>
          <c:spPr>
            <a:solidFill>
              <a:srgbClr val="4F81BD"/>
            </a:solidFill>
          </c:spPr>
          <c:invertIfNegative val="0"/>
          <c:cat>
            <c:strRef>
              <c:f>CI!$A$24:$A$29</c:f>
              <c:strCache>
                <c:ptCount val="6"/>
                <c:pt idx="0">
                  <c:v>Diag</c:v>
                </c:pt>
                <c:pt idx="1">
                  <c:v>Train</c:v>
                </c:pt>
                <c:pt idx="2">
                  <c:v>Educ</c:v>
                </c:pt>
                <c:pt idx="3">
                  <c:v>Rstr</c:v>
                </c:pt>
                <c:pt idx="4">
                  <c:v>Maint</c:v>
                </c:pt>
                <c:pt idx="5">
                  <c:v>Other</c:v>
                </c:pt>
              </c:strCache>
            </c:strRef>
          </c:cat>
          <c:val>
            <c:numRef>
              <c:f>CI!$G$24:$G$29</c:f>
              <c:numCache>
                <c:formatCode>0.000</c:formatCode>
                <c:ptCount val="6"/>
                <c:pt idx="0">
                  <c:v>0.124</c:v>
                </c:pt>
                <c:pt idx="1">
                  <c:v>0.1832</c:v>
                </c:pt>
                <c:pt idx="2">
                  <c:v>0.2152</c:v>
                </c:pt>
                <c:pt idx="3">
                  <c:v>-0.1832</c:v>
                </c:pt>
                <c:pt idx="4">
                  <c:v>-2.3599999999999999E-2</c:v>
                </c:pt>
                <c:pt idx="5">
                  <c:v>0.1676</c:v>
                </c:pt>
              </c:numCache>
            </c:numRef>
          </c:val>
          <c:extLst>
            <c:ext xmlns:c16="http://schemas.microsoft.com/office/drawing/2014/chart" uri="{C3380CC4-5D6E-409C-BE32-E72D297353CC}">
              <c16:uniqueId val="{00000000-0A67-4371-8B89-2300320CFA08}"/>
            </c:ext>
          </c:extLst>
        </c:ser>
        <c:ser>
          <c:idx val="1"/>
          <c:order val="1"/>
          <c:tx>
            <c:v>Earnings</c:v>
          </c:tx>
          <c:spPr>
            <a:solidFill>
              <a:srgbClr val="C0504D"/>
            </a:solidFill>
          </c:spPr>
          <c:invertIfNegative val="0"/>
          <c:cat>
            <c:strRef>
              <c:f>CI!$A$24:$A$29</c:f>
              <c:strCache>
                <c:ptCount val="6"/>
                <c:pt idx="0">
                  <c:v>Diag</c:v>
                </c:pt>
                <c:pt idx="1">
                  <c:v>Train</c:v>
                </c:pt>
                <c:pt idx="2">
                  <c:v>Educ</c:v>
                </c:pt>
                <c:pt idx="3">
                  <c:v>Rstr</c:v>
                </c:pt>
                <c:pt idx="4">
                  <c:v>Maint</c:v>
                </c:pt>
                <c:pt idx="5">
                  <c:v>Other</c:v>
                </c:pt>
              </c:strCache>
            </c:strRef>
          </c:cat>
          <c:val>
            <c:numRef>
              <c:f>CI!$I$24:$I$29</c:f>
              <c:numCache>
                <c:formatCode>0.000</c:formatCode>
                <c:ptCount val="6"/>
                <c:pt idx="0">
                  <c:v>0.307</c:v>
                </c:pt>
                <c:pt idx="1">
                  <c:v>0.28499999999999998</c:v>
                </c:pt>
                <c:pt idx="2">
                  <c:v>0.55500000000000005</c:v>
                </c:pt>
                <c:pt idx="3">
                  <c:v>-0.24099999999999999</c:v>
                </c:pt>
                <c:pt idx="4">
                  <c:v>-6.9000000000000006E-2</c:v>
                </c:pt>
                <c:pt idx="5">
                  <c:v>0.224</c:v>
                </c:pt>
              </c:numCache>
            </c:numRef>
          </c:val>
          <c:extLst>
            <c:ext xmlns:c16="http://schemas.microsoft.com/office/drawing/2014/chart" uri="{C3380CC4-5D6E-409C-BE32-E72D297353CC}">
              <c16:uniqueId val="{00000001-0A67-4371-8B89-2300320CFA08}"/>
            </c:ext>
          </c:extLst>
        </c:ser>
        <c:dLbls>
          <c:showLegendKey val="0"/>
          <c:showVal val="0"/>
          <c:showCatName val="0"/>
          <c:showSerName val="0"/>
          <c:showPercent val="0"/>
          <c:showBubbleSize val="0"/>
        </c:dLbls>
        <c:gapWidth val="150"/>
        <c:axId val="39149952"/>
        <c:axId val="39151488"/>
      </c:barChart>
      <c:catAx>
        <c:axId val="39149952"/>
        <c:scaling>
          <c:orientation val="minMax"/>
        </c:scaling>
        <c:delete val="0"/>
        <c:axPos val="b"/>
        <c:numFmt formatCode="General" sourceLinked="0"/>
        <c:majorTickMark val="out"/>
        <c:minorTickMark val="none"/>
        <c:tickLblPos val="low"/>
        <c:txPr>
          <a:bodyPr rot="0" vert="horz"/>
          <a:lstStyle/>
          <a:p>
            <a:pPr>
              <a:defRPr/>
            </a:pPr>
            <a:endParaRPr lang="en-US"/>
          </a:p>
        </c:txPr>
        <c:crossAx val="39151488"/>
        <c:crosses val="autoZero"/>
        <c:auto val="1"/>
        <c:lblAlgn val="ctr"/>
        <c:lblOffset val="100"/>
        <c:noMultiLvlLbl val="0"/>
      </c:catAx>
      <c:valAx>
        <c:axId val="39151488"/>
        <c:scaling>
          <c:orientation val="minMax"/>
          <c:max val="0.6"/>
          <c:min val="-0.4"/>
        </c:scaling>
        <c:delete val="0"/>
        <c:axPos val="l"/>
        <c:majorGridlines/>
        <c:numFmt formatCode="0.000" sourceLinked="1"/>
        <c:majorTickMark val="out"/>
        <c:minorTickMark val="none"/>
        <c:tickLblPos val="nextTo"/>
        <c:crossAx val="39149952"/>
        <c:crosses val="autoZero"/>
        <c:crossBetween val="between"/>
        <c:majorUnit val="0.2"/>
      </c:valAx>
    </c:plotArea>
    <c:legend>
      <c:legendPos val="r"/>
      <c:layout>
        <c:manualLayout>
          <c:xMode val="edge"/>
          <c:yMode val="edge"/>
          <c:x val="0.60268289079714799"/>
          <c:y val="0.135409069643114"/>
          <c:w val="0.38676367723185701"/>
          <c:h val="9.2267895394054597E-2"/>
        </c:manualLayout>
      </c:layout>
      <c:overlay val="0"/>
      <c:spPr>
        <a:solidFill>
          <a:schemeClr val="bg1"/>
        </a:solidFill>
        <a:ln w="6350">
          <a:solidFill>
            <a:sysClr val="windowText" lastClr="000000"/>
          </a:solidFill>
          <a:prstDash val="solid"/>
        </a:ln>
      </c:spPr>
      <c:txPr>
        <a:bodyPr/>
        <a:lstStyle/>
        <a:p>
          <a:pPr>
            <a:defRPr sz="1100"/>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solidFill>
                  <a:srgbClr val="020592"/>
                </a:solidFill>
              </a:rPr>
              <a:t>Short-Run Effects</a:t>
            </a:r>
          </a:p>
        </c:rich>
      </c:tx>
      <c:layout>
        <c:manualLayout>
          <c:xMode val="edge"/>
          <c:yMode val="edge"/>
          <c:x val="0.27994661614763305"/>
          <c:y val="2.3316827956693122E-2"/>
        </c:manualLayout>
      </c:layout>
      <c:overlay val="0"/>
    </c:title>
    <c:autoTitleDeleted val="0"/>
    <c:plotArea>
      <c:layout>
        <c:manualLayout>
          <c:layoutTarget val="inner"/>
          <c:xMode val="edge"/>
          <c:yMode val="edge"/>
          <c:x val="7.1547870288731497E-2"/>
          <c:y val="0.12678735687680601"/>
          <c:w val="0.91001516491934298"/>
          <c:h val="0.76095143485606598"/>
        </c:manualLayout>
      </c:layout>
      <c:barChart>
        <c:barDir val="col"/>
        <c:grouping val="clustered"/>
        <c:varyColors val="0"/>
        <c:ser>
          <c:idx val="0"/>
          <c:order val="0"/>
          <c:tx>
            <c:v>Employment</c:v>
          </c:tx>
          <c:spPr>
            <a:solidFill>
              <a:srgbClr val="4F81BD"/>
            </a:solidFill>
          </c:spPr>
          <c:invertIfNegative val="0"/>
          <c:cat>
            <c:strRef>
              <c:f>PI!$A$24:$A$29</c:f>
              <c:strCache>
                <c:ptCount val="6"/>
                <c:pt idx="0">
                  <c:v>Diag</c:v>
                </c:pt>
                <c:pt idx="1">
                  <c:v>Train</c:v>
                </c:pt>
                <c:pt idx="2">
                  <c:v>Educ</c:v>
                </c:pt>
                <c:pt idx="3">
                  <c:v>Rstr</c:v>
                </c:pt>
                <c:pt idx="4">
                  <c:v>Maint</c:v>
                </c:pt>
                <c:pt idx="5">
                  <c:v>Other</c:v>
                </c:pt>
              </c:strCache>
            </c:strRef>
          </c:cat>
          <c:val>
            <c:numRef>
              <c:f>PI!$F$24:$F$29</c:f>
              <c:numCache>
                <c:formatCode>0.000</c:formatCode>
                <c:ptCount val="6"/>
                <c:pt idx="0">
                  <c:v>0.21879999999999999</c:v>
                </c:pt>
                <c:pt idx="1">
                  <c:v>0.12959999999999999</c:v>
                </c:pt>
                <c:pt idx="2">
                  <c:v>0.1032</c:v>
                </c:pt>
                <c:pt idx="3">
                  <c:v>0.20599999999999999</c:v>
                </c:pt>
                <c:pt idx="4">
                  <c:v>-2.8E-3</c:v>
                </c:pt>
                <c:pt idx="5">
                  <c:v>0.154</c:v>
                </c:pt>
              </c:numCache>
            </c:numRef>
          </c:val>
          <c:extLst>
            <c:ext xmlns:c16="http://schemas.microsoft.com/office/drawing/2014/chart" uri="{C3380CC4-5D6E-409C-BE32-E72D297353CC}">
              <c16:uniqueId val="{00000000-7337-4B46-8417-D8CC3B32FA73}"/>
            </c:ext>
          </c:extLst>
        </c:ser>
        <c:ser>
          <c:idx val="1"/>
          <c:order val="1"/>
          <c:tx>
            <c:v>Earnings</c:v>
          </c:tx>
          <c:spPr>
            <a:solidFill>
              <a:srgbClr val="C0504D"/>
            </a:solidFill>
          </c:spPr>
          <c:invertIfNegative val="0"/>
          <c:cat>
            <c:strRef>
              <c:f>PI!$A$24:$A$29</c:f>
              <c:strCache>
                <c:ptCount val="6"/>
                <c:pt idx="0">
                  <c:v>Diag</c:v>
                </c:pt>
                <c:pt idx="1">
                  <c:v>Train</c:v>
                </c:pt>
                <c:pt idx="2">
                  <c:v>Educ</c:v>
                </c:pt>
                <c:pt idx="3">
                  <c:v>Rstr</c:v>
                </c:pt>
                <c:pt idx="4">
                  <c:v>Maint</c:v>
                </c:pt>
                <c:pt idx="5">
                  <c:v>Other</c:v>
                </c:pt>
              </c:strCache>
            </c:strRef>
          </c:cat>
          <c:val>
            <c:numRef>
              <c:f>PI!$D$24:$D$29</c:f>
              <c:numCache>
                <c:formatCode>0.000</c:formatCode>
                <c:ptCount val="6"/>
                <c:pt idx="0">
                  <c:v>0.16300000000000001</c:v>
                </c:pt>
                <c:pt idx="1">
                  <c:v>8.9999999999999993E-3</c:v>
                </c:pt>
                <c:pt idx="2">
                  <c:v>0.318</c:v>
                </c:pt>
                <c:pt idx="3">
                  <c:v>0.35099999999999998</c:v>
                </c:pt>
                <c:pt idx="4">
                  <c:v>-0.16500000000000001</c:v>
                </c:pt>
                <c:pt idx="5">
                  <c:v>0.16500000000000001</c:v>
                </c:pt>
              </c:numCache>
            </c:numRef>
          </c:val>
          <c:extLst>
            <c:ext xmlns:c16="http://schemas.microsoft.com/office/drawing/2014/chart" uri="{C3380CC4-5D6E-409C-BE32-E72D297353CC}">
              <c16:uniqueId val="{00000001-7337-4B46-8417-D8CC3B32FA73}"/>
            </c:ext>
          </c:extLst>
        </c:ser>
        <c:dLbls>
          <c:showLegendKey val="0"/>
          <c:showVal val="0"/>
          <c:showCatName val="0"/>
          <c:showSerName val="0"/>
          <c:showPercent val="0"/>
          <c:showBubbleSize val="0"/>
        </c:dLbls>
        <c:gapWidth val="150"/>
        <c:axId val="79056896"/>
        <c:axId val="79058432"/>
      </c:barChart>
      <c:catAx>
        <c:axId val="79056896"/>
        <c:scaling>
          <c:orientation val="minMax"/>
        </c:scaling>
        <c:delete val="0"/>
        <c:axPos val="b"/>
        <c:numFmt formatCode="General" sourceLinked="0"/>
        <c:majorTickMark val="out"/>
        <c:minorTickMark val="none"/>
        <c:tickLblPos val="low"/>
        <c:txPr>
          <a:bodyPr rot="0" vert="horz"/>
          <a:lstStyle/>
          <a:p>
            <a:pPr>
              <a:defRPr/>
            </a:pPr>
            <a:endParaRPr lang="en-US"/>
          </a:p>
        </c:txPr>
        <c:crossAx val="79058432"/>
        <c:crosses val="autoZero"/>
        <c:auto val="1"/>
        <c:lblAlgn val="ctr"/>
        <c:lblOffset val="100"/>
        <c:noMultiLvlLbl val="0"/>
      </c:catAx>
      <c:valAx>
        <c:axId val="79058432"/>
        <c:scaling>
          <c:orientation val="minMax"/>
          <c:max val="0.5"/>
          <c:min val="-0.2"/>
        </c:scaling>
        <c:delete val="0"/>
        <c:axPos val="l"/>
        <c:majorGridlines/>
        <c:numFmt formatCode="0.000" sourceLinked="1"/>
        <c:majorTickMark val="out"/>
        <c:minorTickMark val="none"/>
        <c:tickLblPos val="nextTo"/>
        <c:crossAx val="79056896"/>
        <c:crosses val="autoZero"/>
        <c:crossBetween val="between"/>
      </c:valAx>
    </c:plotArea>
    <c:legend>
      <c:legendPos val="r"/>
      <c:layout>
        <c:manualLayout>
          <c:xMode val="edge"/>
          <c:yMode val="edge"/>
          <c:x val="0.120932544185857"/>
          <c:y val="0.127602533498342"/>
          <c:w val="0.38676367723185701"/>
          <c:h val="8.8731201217291195E-2"/>
        </c:manualLayout>
      </c:layout>
      <c:overlay val="0"/>
      <c:spPr>
        <a:solidFill>
          <a:schemeClr val="bg1"/>
        </a:solidFill>
        <a:ln w="6350">
          <a:solidFill>
            <a:schemeClr val="tx1"/>
          </a:solidFill>
          <a:prstDash val="solid"/>
        </a:ln>
      </c:spPr>
      <c:txPr>
        <a:bodyPr/>
        <a:lstStyle/>
        <a:p>
          <a:pPr>
            <a:defRPr sz="1100"/>
          </a:pPr>
          <a:endParaRPr lang="en-U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solidFill>
                  <a:srgbClr val="020592"/>
                </a:solidFill>
              </a:rPr>
              <a:t>Long-Run Effects</a:t>
            </a:r>
          </a:p>
        </c:rich>
      </c:tx>
      <c:layout>
        <c:manualLayout>
          <c:xMode val="edge"/>
          <c:yMode val="edge"/>
          <c:x val="0.24682173930926357"/>
          <c:y val="0"/>
        </c:manualLayout>
      </c:layout>
      <c:overlay val="0"/>
    </c:title>
    <c:autoTitleDeleted val="0"/>
    <c:plotArea>
      <c:layout>
        <c:manualLayout>
          <c:layoutTarget val="inner"/>
          <c:xMode val="edge"/>
          <c:yMode val="edge"/>
          <c:x val="0.14283342040336239"/>
          <c:y val="0.12212399778949128"/>
          <c:w val="0.91001516491934298"/>
          <c:h val="0.76095143485606598"/>
        </c:manualLayout>
      </c:layout>
      <c:barChart>
        <c:barDir val="col"/>
        <c:grouping val="clustered"/>
        <c:varyColors val="0"/>
        <c:ser>
          <c:idx val="0"/>
          <c:order val="0"/>
          <c:tx>
            <c:v>Employment</c:v>
          </c:tx>
          <c:spPr>
            <a:solidFill>
              <a:srgbClr val="4F81BD"/>
            </a:solidFill>
          </c:spPr>
          <c:invertIfNegative val="0"/>
          <c:cat>
            <c:strRef>
              <c:f>PI!$A$24:$A$29</c:f>
              <c:strCache>
                <c:ptCount val="6"/>
                <c:pt idx="0">
                  <c:v>Diag</c:v>
                </c:pt>
                <c:pt idx="1">
                  <c:v>Train</c:v>
                </c:pt>
                <c:pt idx="2">
                  <c:v>Educ</c:v>
                </c:pt>
                <c:pt idx="3">
                  <c:v>Rstr</c:v>
                </c:pt>
                <c:pt idx="4">
                  <c:v>Maint</c:v>
                </c:pt>
                <c:pt idx="5">
                  <c:v>Other</c:v>
                </c:pt>
              </c:strCache>
            </c:strRef>
          </c:cat>
          <c:val>
            <c:numRef>
              <c:f>PI!$G$24:$G$29</c:f>
              <c:numCache>
                <c:formatCode>0.000</c:formatCode>
                <c:ptCount val="6"/>
                <c:pt idx="0">
                  <c:v>5.0799999999999998E-2</c:v>
                </c:pt>
                <c:pt idx="1">
                  <c:v>0.16320000000000001</c:v>
                </c:pt>
                <c:pt idx="2">
                  <c:v>0.22559999999999999</c:v>
                </c:pt>
                <c:pt idx="3">
                  <c:v>0.14280000000000001</c:v>
                </c:pt>
                <c:pt idx="4">
                  <c:v>-6.0000000000000097E-3</c:v>
                </c:pt>
                <c:pt idx="5">
                  <c:v>0.1076</c:v>
                </c:pt>
              </c:numCache>
            </c:numRef>
          </c:val>
          <c:extLst>
            <c:ext xmlns:c16="http://schemas.microsoft.com/office/drawing/2014/chart" uri="{C3380CC4-5D6E-409C-BE32-E72D297353CC}">
              <c16:uniqueId val="{00000000-2872-4FB0-A6DF-A172C0AFAC28}"/>
            </c:ext>
          </c:extLst>
        </c:ser>
        <c:ser>
          <c:idx val="1"/>
          <c:order val="1"/>
          <c:tx>
            <c:v>Earnings</c:v>
          </c:tx>
          <c:spPr>
            <a:solidFill>
              <a:srgbClr val="C0504D"/>
            </a:solidFill>
          </c:spPr>
          <c:invertIfNegative val="0"/>
          <c:cat>
            <c:strRef>
              <c:f>PI!$A$24:$A$29</c:f>
              <c:strCache>
                <c:ptCount val="6"/>
                <c:pt idx="0">
                  <c:v>Diag</c:v>
                </c:pt>
                <c:pt idx="1">
                  <c:v>Train</c:v>
                </c:pt>
                <c:pt idx="2">
                  <c:v>Educ</c:v>
                </c:pt>
                <c:pt idx="3">
                  <c:v>Rstr</c:v>
                </c:pt>
                <c:pt idx="4">
                  <c:v>Maint</c:v>
                </c:pt>
                <c:pt idx="5">
                  <c:v>Other</c:v>
                </c:pt>
              </c:strCache>
            </c:strRef>
          </c:cat>
          <c:val>
            <c:numRef>
              <c:f>PI!$I$24:$I$29</c:f>
              <c:numCache>
                <c:formatCode>0.000</c:formatCode>
                <c:ptCount val="6"/>
                <c:pt idx="0">
                  <c:v>0.318</c:v>
                </c:pt>
                <c:pt idx="1">
                  <c:v>0.17199999999999999</c:v>
                </c:pt>
                <c:pt idx="2">
                  <c:v>0.36399999999999999</c:v>
                </c:pt>
                <c:pt idx="3">
                  <c:v>0.442</c:v>
                </c:pt>
                <c:pt idx="4">
                  <c:v>2.9000000000000001E-2</c:v>
                </c:pt>
                <c:pt idx="5">
                  <c:v>0.14799999999999999</c:v>
                </c:pt>
              </c:numCache>
            </c:numRef>
          </c:val>
          <c:extLst>
            <c:ext xmlns:c16="http://schemas.microsoft.com/office/drawing/2014/chart" uri="{C3380CC4-5D6E-409C-BE32-E72D297353CC}">
              <c16:uniqueId val="{00000001-2872-4FB0-A6DF-A172C0AFAC28}"/>
            </c:ext>
          </c:extLst>
        </c:ser>
        <c:dLbls>
          <c:showLegendKey val="0"/>
          <c:showVal val="0"/>
          <c:showCatName val="0"/>
          <c:showSerName val="0"/>
          <c:showPercent val="0"/>
          <c:showBubbleSize val="0"/>
        </c:dLbls>
        <c:gapWidth val="150"/>
        <c:axId val="85269504"/>
        <c:axId val="85275392"/>
      </c:barChart>
      <c:catAx>
        <c:axId val="85269504"/>
        <c:scaling>
          <c:orientation val="minMax"/>
        </c:scaling>
        <c:delete val="0"/>
        <c:axPos val="b"/>
        <c:numFmt formatCode="General" sourceLinked="0"/>
        <c:majorTickMark val="out"/>
        <c:minorTickMark val="none"/>
        <c:tickLblPos val="low"/>
        <c:txPr>
          <a:bodyPr rot="0" vert="horz"/>
          <a:lstStyle/>
          <a:p>
            <a:pPr>
              <a:defRPr/>
            </a:pPr>
            <a:endParaRPr lang="en-US"/>
          </a:p>
        </c:txPr>
        <c:crossAx val="85275392"/>
        <c:crosses val="autoZero"/>
        <c:auto val="1"/>
        <c:lblAlgn val="ctr"/>
        <c:lblOffset val="100"/>
        <c:noMultiLvlLbl val="0"/>
      </c:catAx>
      <c:valAx>
        <c:axId val="85275392"/>
        <c:scaling>
          <c:orientation val="minMax"/>
          <c:min val="-0.2"/>
        </c:scaling>
        <c:delete val="0"/>
        <c:axPos val="l"/>
        <c:majorGridlines/>
        <c:numFmt formatCode="0.000" sourceLinked="1"/>
        <c:majorTickMark val="out"/>
        <c:minorTickMark val="none"/>
        <c:tickLblPos val="nextTo"/>
        <c:crossAx val="85269504"/>
        <c:crosses val="autoZero"/>
        <c:crossBetween val="between"/>
      </c:valAx>
    </c:plotArea>
    <c:legend>
      <c:legendPos val="r"/>
      <c:layout>
        <c:manualLayout>
          <c:xMode val="edge"/>
          <c:yMode val="edge"/>
          <c:x val="0.11206336458497"/>
          <c:y val="0.127602533498342"/>
          <c:w val="0.38676367723185701"/>
          <c:h val="9.2267895394054597E-2"/>
        </c:manualLayout>
      </c:layout>
      <c:overlay val="0"/>
      <c:spPr>
        <a:solidFill>
          <a:schemeClr val="bg1"/>
        </a:solidFill>
        <a:ln w="6350">
          <a:solidFill>
            <a:schemeClr val="tx1"/>
          </a:solidFill>
          <a:prstDash val="solid"/>
        </a:ln>
      </c:spPr>
      <c:txPr>
        <a:bodyPr/>
        <a:lstStyle/>
        <a:p>
          <a:pPr>
            <a:defRPr sz="1100"/>
          </a:pPr>
          <a:endParaRPr lang="en-U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solidFill>
                  <a:srgbClr val="020592"/>
                </a:solidFill>
              </a:rPr>
              <a:t>Long-Run Effects</a:t>
            </a:r>
          </a:p>
        </c:rich>
      </c:tx>
      <c:layout>
        <c:manualLayout>
          <c:xMode val="edge"/>
          <c:yMode val="edge"/>
          <c:x val="0.22742455906593226"/>
          <c:y val="5.1860039960815044E-3"/>
        </c:manualLayout>
      </c:layout>
      <c:overlay val="0"/>
    </c:title>
    <c:autoTitleDeleted val="0"/>
    <c:plotArea>
      <c:layout>
        <c:manualLayout>
          <c:layoutTarget val="inner"/>
          <c:xMode val="edge"/>
          <c:yMode val="edge"/>
          <c:x val="7.1547870288731497E-2"/>
          <c:y val="0.12678735687680601"/>
          <c:w val="0.91001516491934298"/>
          <c:h val="0.76095143485606598"/>
        </c:manualLayout>
      </c:layout>
      <c:barChart>
        <c:barDir val="col"/>
        <c:grouping val="clustered"/>
        <c:varyColors val="0"/>
        <c:ser>
          <c:idx val="0"/>
          <c:order val="0"/>
          <c:tx>
            <c:v>Employment</c:v>
          </c:tx>
          <c:spPr>
            <a:solidFill>
              <a:srgbClr val="4F81BD"/>
            </a:solidFill>
          </c:spPr>
          <c:invertIfNegative val="0"/>
          <c:cat>
            <c:strRef>
              <c:f>PI!$A$24:$A$29</c:f>
              <c:strCache>
                <c:ptCount val="6"/>
                <c:pt idx="0">
                  <c:v>Diag</c:v>
                </c:pt>
                <c:pt idx="1">
                  <c:v>Train</c:v>
                </c:pt>
                <c:pt idx="2">
                  <c:v>Educ</c:v>
                </c:pt>
                <c:pt idx="3">
                  <c:v>Rstr</c:v>
                </c:pt>
                <c:pt idx="4">
                  <c:v>Maint</c:v>
                </c:pt>
                <c:pt idx="5">
                  <c:v>Other</c:v>
                </c:pt>
              </c:strCache>
            </c:strRef>
          </c:cat>
          <c:val>
            <c:numRef>
              <c:f>PI!$G$24:$G$29</c:f>
              <c:numCache>
                <c:formatCode>0.000</c:formatCode>
                <c:ptCount val="6"/>
                <c:pt idx="0">
                  <c:v>5.0799999999999998E-2</c:v>
                </c:pt>
                <c:pt idx="1">
                  <c:v>0.16320000000000001</c:v>
                </c:pt>
                <c:pt idx="2">
                  <c:v>0.22559999999999999</c:v>
                </c:pt>
                <c:pt idx="3">
                  <c:v>0.14280000000000001</c:v>
                </c:pt>
                <c:pt idx="4">
                  <c:v>-6.0000000000000097E-3</c:v>
                </c:pt>
                <c:pt idx="5">
                  <c:v>0.1076</c:v>
                </c:pt>
              </c:numCache>
            </c:numRef>
          </c:val>
          <c:extLst>
            <c:ext xmlns:c16="http://schemas.microsoft.com/office/drawing/2014/chart" uri="{C3380CC4-5D6E-409C-BE32-E72D297353CC}">
              <c16:uniqueId val="{00000000-AAD7-4179-91F4-2DDFEC45929A}"/>
            </c:ext>
          </c:extLst>
        </c:ser>
        <c:ser>
          <c:idx val="1"/>
          <c:order val="1"/>
          <c:tx>
            <c:v>Earnings</c:v>
          </c:tx>
          <c:spPr>
            <a:solidFill>
              <a:srgbClr val="C0504D"/>
            </a:solidFill>
          </c:spPr>
          <c:invertIfNegative val="0"/>
          <c:cat>
            <c:strRef>
              <c:f>PI!$A$24:$A$29</c:f>
              <c:strCache>
                <c:ptCount val="6"/>
                <c:pt idx="0">
                  <c:v>Diag</c:v>
                </c:pt>
                <c:pt idx="1">
                  <c:v>Train</c:v>
                </c:pt>
                <c:pt idx="2">
                  <c:v>Educ</c:v>
                </c:pt>
                <c:pt idx="3">
                  <c:v>Rstr</c:v>
                </c:pt>
                <c:pt idx="4">
                  <c:v>Maint</c:v>
                </c:pt>
                <c:pt idx="5">
                  <c:v>Other</c:v>
                </c:pt>
              </c:strCache>
            </c:strRef>
          </c:cat>
          <c:val>
            <c:numRef>
              <c:f>PI!$I$24:$I$29</c:f>
              <c:numCache>
                <c:formatCode>0.000</c:formatCode>
                <c:ptCount val="6"/>
                <c:pt idx="0">
                  <c:v>0.318</c:v>
                </c:pt>
                <c:pt idx="1">
                  <c:v>0.17199999999999999</c:v>
                </c:pt>
                <c:pt idx="2">
                  <c:v>0.36399999999999999</c:v>
                </c:pt>
                <c:pt idx="3">
                  <c:v>0.442</c:v>
                </c:pt>
                <c:pt idx="4">
                  <c:v>2.9000000000000001E-2</c:v>
                </c:pt>
                <c:pt idx="5">
                  <c:v>0.14799999999999999</c:v>
                </c:pt>
              </c:numCache>
            </c:numRef>
          </c:val>
          <c:extLst>
            <c:ext xmlns:c16="http://schemas.microsoft.com/office/drawing/2014/chart" uri="{C3380CC4-5D6E-409C-BE32-E72D297353CC}">
              <c16:uniqueId val="{00000001-AAD7-4179-91F4-2DDFEC45929A}"/>
            </c:ext>
          </c:extLst>
        </c:ser>
        <c:dLbls>
          <c:showLegendKey val="0"/>
          <c:showVal val="0"/>
          <c:showCatName val="0"/>
          <c:showSerName val="0"/>
          <c:showPercent val="0"/>
          <c:showBubbleSize val="0"/>
        </c:dLbls>
        <c:gapWidth val="150"/>
        <c:axId val="85269504"/>
        <c:axId val="85275392"/>
      </c:barChart>
      <c:catAx>
        <c:axId val="85269504"/>
        <c:scaling>
          <c:orientation val="minMax"/>
        </c:scaling>
        <c:delete val="0"/>
        <c:axPos val="b"/>
        <c:numFmt formatCode="General" sourceLinked="0"/>
        <c:majorTickMark val="out"/>
        <c:minorTickMark val="none"/>
        <c:tickLblPos val="low"/>
        <c:txPr>
          <a:bodyPr rot="0" vert="horz"/>
          <a:lstStyle/>
          <a:p>
            <a:pPr>
              <a:defRPr/>
            </a:pPr>
            <a:endParaRPr lang="en-US"/>
          </a:p>
        </c:txPr>
        <c:crossAx val="85275392"/>
        <c:crosses val="autoZero"/>
        <c:auto val="1"/>
        <c:lblAlgn val="ctr"/>
        <c:lblOffset val="100"/>
        <c:noMultiLvlLbl val="0"/>
      </c:catAx>
      <c:valAx>
        <c:axId val="85275392"/>
        <c:scaling>
          <c:orientation val="minMax"/>
          <c:min val="-0.2"/>
        </c:scaling>
        <c:delete val="0"/>
        <c:axPos val="l"/>
        <c:majorGridlines/>
        <c:numFmt formatCode="0.000" sourceLinked="1"/>
        <c:majorTickMark val="out"/>
        <c:minorTickMark val="none"/>
        <c:tickLblPos val="nextTo"/>
        <c:crossAx val="85269504"/>
        <c:crosses val="autoZero"/>
        <c:crossBetween val="between"/>
      </c:valAx>
    </c:plotArea>
    <c:legend>
      <c:legendPos val="r"/>
      <c:layout>
        <c:manualLayout>
          <c:xMode val="edge"/>
          <c:yMode val="edge"/>
          <c:x val="0.17501609344907398"/>
          <c:y val="0.12760264919051378"/>
          <c:w val="0.71568575138288604"/>
          <c:h val="9.2267895394054597E-2"/>
        </c:manualLayout>
      </c:layout>
      <c:overlay val="0"/>
      <c:spPr>
        <a:solidFill>
          <a:schemeClr val="bg1"/>
        </a:solidFill>
        <a:ln w="6350">
          <a:solidFill>
            <a:schemeClr val="tx1"/>
          </a:solidFill>
          <a:prstDash val="solid"/>
        </a:ln>
      </c:spPr>
      <c:txPr>
        <a:bodyPr/>
        <a:lstStyle/>
        <a:p>
          <a:pPr>
            <a:defRPr sz="1100"/>
          </a:pPr>
          <a:endParaRPr lang="en-US"/>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solidFill>
                  <a:srgbClr val="020592"/>
                </a:solidFill>
              </a:rPr>
              <a:t>Short-Run Effects</a:t>
            </a:r>
          </a:p>
        </c:rich>
      </c:tx>
      <c:layout>
        <c:manualLayout>
          <c:xMode val="edge"/>
          <c:yMode val="edge"/>
          <c:x val="0.20343395722128785"/>
          <c:y val="1.0372007992163009E-2"/>
        </c:manualLayout>
      </c:layout>
      <c:overlay val="0"/>
    </c:title>
    <c:autoTitleDeleted val="0"/>
    <c:plotArea>
      <c:layout>
        <c:manualLayout>
          <c:layoutTarget val="inner"/>
          <c:xMode val="edge"/>
          <c:yMode val="edge"/>
          <c:x val="7.1547870288731497E-2"/>
          <c:y val="0.12678735687680601"/>
          <c:w val="0.91001516491934298"/>
          <c:h val="0.76095143485606598"/>
        </c:manualLayout>
      </c:layout>
      <c:barChart>
        <c:barDir val="col"/>
        <c:grouping val="clustered"/>
        <c:varyColors val="0"/>
        <c:ser>
          <c:idx val="0"/>
          <c:order val="0"/>
          <c:tx>
            <c:v>Employment</c:v>
          </c:tx>
          <c:spPr>
            <a:solidFill>
              <a:srgbClr val="4F81BD"/>
            </a:solidFill>
          </c:spPr>
          <c:invertIfNegative val="0"/>
          <c:cat>
            <c:strRef>
              <c:f>PI!$A$24:$A$29</c:f>
              <c:strCache>
                <c:ptCount val="6"/>
                <c:pt idx="0">
                  <c:v>Diag</c:v>
                </c:pt>
                <c:pt idx="1">
                  <c:v>Train</c:v>
                </c:pt>
                <c:pt idx="2">
                  <c:v>Educ</c:v>
                </c:pt>
                <c:pt idx="3">
                  <c:v>Rstr</c:v>
                </c:pt>
                <c:pt idx="4">
                  <c:v>Maint</c:v>
                </c:pt>
                <c:pt idx="5">
                  <c:v>Other</c:v>
                </c:pt>
              </c:strCache>
            </c:strRef>
          </c:cat>
          <c:val>
            <c:numRef>
              <c:f>PI!$F$24:$F$29</c:f>
              <c:numCache>
                <c:formatCode>0.000</c:formatCode>
                <c:ptCount val="6"/>
                <c:pt idx="0">
                  <c:v>0.21879999999999999</c:v>
                </c:pt>
                <c:pt idx="1">
                  <c:v>0.12959999999999999</c:v>
                </c:pt>
                <c:pt idx="2">
                  <c:v>0.1032</c:v>
                </c:pt>
                <c:pt idx="3">
                  <c:v>0.20599999999999999</c:v>
                </c:pt>
                <c:pt idx="4">
                  <c:v>-2.8E-3</c:v>
                </c:pt>
                <c:pt idx="5">
                  <c:v>0.154</c:v>
                </c:pt>
              </c:numCache>
            </c:numRef>
          </c:val>
          <c:extLst>
            <c:ext xmlns:c16="http://schemas.microsoft.com/office/drawing/2014/chart" uri="{C3380CC4-5D6E-409C-BE32-E72D297353CC}">
              <c16:uniqueId val="{00000000-32EE-4283-B399-061854F7D309}"/>
            </c:ext>
          </c:extLst>
        </c:ser>
        <c:ser>
          <c:idx val="1"/>
          <c:order val="1"/>
          <c:tx>
            <c:v>Earnings</c:v>
          </c:tx>
          <c:spPr>
            <a:solidFill>
              <a:srgbClr val="C0504D"/>
            </a:solidFill>
          </c:spPr>
          <c:invertIfNegative val="0"/>
          <c:cat>
            <c:strRef>
              <c:f>PI!$A$24:$A$29</c:f>
              <c:strCache>
                <c:ptCount val="6"/>
                <c:pt idx="0">
                  <c:v>Diag</c:v>
                </c:pt>
                <c:pt idx="1">
                  <c:v>Train</c:v>
                </c:pt>
                <c:pt idx="2">
                  <c:v>Educ</c:v>
                </c:pt>
                <c:pt idx="3">
                  <c:v>Rstr</c:v>
                </c:pt>
                <c:pt idx="4">
                  <c:v>Maint</c:v>
                </c:pt>
                <c:pt idx="5">
                  <c:v>Other</c:v>
                </c:pt>
              </c:strCache>
            </c:strRef>
          </c:cat>
          <c:val>
            <c:numRef>
              <c:f>PI!$D$24:$D$29</c:f>
              <c:numCache>
                <c:formatCode>0.000</c:formatCode>
                <c:ptCount val="6"/>
                <c:pt idx="0">
                  <c:v>0.16300000000000001</c:v>
                </c:pt>
                <c:pt idx="1">
                  <c:v>8.9999999999999993E-3</c:v>
                </c:pt>
                <c:pt idx="2">
                  <c:v>0.318</c:v>
                </c:pt>
                <c:pt idx="3">
                  <c:v>0.35099999999999998</c:v>
                </c:pt>
                <c:pt idx="4">
                  <c:v>-0.16500000000000001</c:v>
                </c:pt>
                <c:pt idx="5">
                  <c:v>0.16500000000000001</c:v>
                </c:pt>
              </c:numCache>
            </c:numRef>
          </c:val>
          <c:extLst>
            <c:ext xmlns:c16="http://schemas.microsoft.com/office/drawing/2014/chart" uri="{C3380CC4-5D6E-409C-BE32-E72D297353CC}">
              <c16:uniqueId val="{00000001-32EE-4283-B399-061854F7D309}"/>
            </c:ext>
          </c:extLst>
        </c:ser>
        <c:dLbls>
          <c:showLegendKey val="0"/>
          <c:showVal val="0"/>
          <c:showCatName val="0"/>
          <c:showSerName val="0"/>
          <c:showPercent val="0"/>
          <c:showBubbleSize val="0"/>
        </c:dLbls>
        <c:gapWidth val="150"/>
        <c:axId val="79056896"/>
        <c:axId val="79058432"/>
      </c:barChart>
      <c:catAx>
        <c:axId val="79056896"/>
        <c:scaling>
          <c:orientation val="minMax"/>
        </c:scaling>
        <c:delete val="0"/>
        <c:axPos val="b"/>
        <c:numFmt formatCode="General" sourceLinked="0"/>
        <c:majorTickMark val="out"/>
        <c:minorTickMark val="none"/>
        <c:tickLblPos val="low"/>
        <c:txPr>
          <a:bodyPr rot="0" vert="horz"/>
          <a:lstStyle/>
          <a:p>
            <a:pPr>
              <a:defRPr/>
            </a:pPr>
            <a:endParaRPr lang="en-US"/>
          </a:p>
        </c:txPr>
        <c:crossAx val="79058432"/>
        <c:crosses val="autoZero"/>
        <c:auto val="1"/>
        <c:lblAlgn val="ctr"/>
        <c:lblOffset val="100"/>
        <c:noMultiLvlLbl val="0"/>
      </c:catAx>
      <c:valAx>
        <c:axId val="79058432"/>
        <c:scaling>
          <c:orientation val="minMax"/>
          <c:max val="0.5"/>
          <c:min val="-0.2"/>
        </c:scaling>
        <c:delete val="0"/>
        <c:axPos val="l"/>
        <c:majorGridlines/>
        <c:numFmt formatCode="0.000" sourceLinked="1"/>
        <c:majorTickMark val="out"/>
        <c:minorTickMark val="none"/>
        <c:tickLblPos val="nextTo"/>
        <c:crossAx val="79056896"/>
        <c:crosses val="autoZero"/>
        <c:crossBetween val="between"/>
      </c:valAx>
    </c:plotArea>
    <c:legend>
      <c:legendPos val="r"/>
      <c:layout>
        <c:manualLayout>
          <c:xMode val="edge"/>
          <c:yMode val="edge"/>
          <c:x val="0.1692976084718219"/>
          <c:y val="0.12760264919051378"/>
          <c:w val="0.65343044619422574"/>
          <c:h val="8.8731201217291195E-2"/>
        </c:manualLayout>
      </c:layout>
      <c:overlay val="0"/>
      <c:spPr>
        <a:solidFill>
          <a:schemeClr val="bg1"/>
        </a:solidFill>
        <a:ln w="6350">
          <a:solidFill>
            <a:schemeClr val="tx1"/>
          </a:solidFill>
          <a:prstDash val="solid"/>
        </a:ln>
      </c:spPr>
      <c:txPr>
        <a:bodyPr/>
        <a:lstStyle/>
        <a:p>
          <a:pPr>
            <a:defRPr sz="11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NTACTC">
  <a:themeElements>
    <a:clrScheme name="VR">
      <a:dk1>
        <a:srgbClr val="000000"/>
      </a:dk1>
      <a:lt1>
        <a:srgbClr val="FFFFFF"/>
      </a:lt1>
      <a:dk2>
        <a:srgbClr val="C0AF8C"/>
      </a:dk2>
      <a:lt2>
        <a:srgbClr val="FAEDBC"/>
      </a:lt2>
      <a:accent1>
        <a:srgbClr val="925229"/>
      </a:accent1>
      <a:accent2>
        <a:srgbClr val="F1C741"/>
      </a:accent2>
      <a:accent3>
        <a:srgbClr val="498268"/>
      </a:accent3>
      <a:accent4>
        <a:srgbClr val="467BAB"/>
      </a:accent4>
      <a:accent5>
        <a:srgbClr val="92C050"/>
      </a:accent5>
      <a:accent6>
        <a:srgbClr val="254264"/>
      </a:accent6>
      <a:hlink>
        <a:srgbClr val="000000"/>
      </a:hlink>
      <a:folHlink>
        <a:srgbClr val="C21F3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AB4CD10FCCE840A9F7A60CFEA07643" ma:contentTypeVersion="17" ma:contentTypeDescription="Create a new document." ma:contentTypeScope="" ma:versionID="83e43fb4e3658ded98e87e5342494afd">
  <xsd:schema xmlns:xsd="http://www.w3.org/2001/XMLSchema" xmlns:xs="http://www.w3.org/2001/XMLSchema" xmlns:p="http://schemas.microsoft.com/office/2006/metadata/properties" xmlns:ns2="54a9d15e-ee5c-48f1-9d99-365d542a9913" xmlns:ns3="4ba7d84b-d7bd-46b4-a66c-7a610aef47b7" targetNamespace="http://schemas.microsoft.com/office/2006/metadata/properties" ma:root="true" ma:fieldsID="4979febb1e9aeba4e7fa806d8bba48f9" ns2:_="" ns3:_="">
    <xsd:import namespace="54a9d15e-ee5c-48f1-9d99-365d542a9913"/>
    <xsd:import namespace="4ba7d84b-d7bd-46b4-a66c-7a610aef47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9d15e-ee5c-48f1-9d99-365d542a99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3db4deb-8d57-425f-b55a-80c757add84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a7d84b-d7bd-46b4-a66c-7a610aef47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5f04fa3-e4a5-44fd-aa02-cf510cf6520a}" ma:internalName="TaxCatchAll" ma:showField="CatchAllData" ma:web="4ba7d84b-d7bd-46b4-a66c-7a610aef47b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ba7d84b-d7bd-46b4-a66c-7a610aef47b7" xsi:nil="true"/>
    <lcf76f155ced4ddcb4097134ff3c332f xmlns="54a9d15e-ee5c-48f1-9d99-365d542a991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F3F239F-87A9-49C7-A5B9-E17A7D6D7826}"/>
</file>

<file path=customXml/itemProps2.xml><?xml version="1.0" encoding="utf-8"?>
<ds:datastoreItem xmlns:ds="http://schemas.openxmlformats.org/officeDocument/2006/customXml" ds:itemID="{669A9B1F-A9AE-4A44-9D2F-1C142E2D8013}">
  <ds:schemaRefs>
    <ds:schemaRef ds:uri="http://schemas.microsoft.com/sharepoint/v3/contenttype/forms"/>
  </ds:schemaRefs>
</ds:datastoreItem>
</file>

<file path=customXml/itemProps3.xml><?xml version="1.0" encoding="utf-8"?>
<ds:datastoreItem xmlns:ds="http://schemas.openxmlformats.org/officeDocument/2006/customXml" ds:itemID="{54CC5937-B162-41E0-9A38-E91B20BCD205}">
  <ds:schemaRefs>
    <ds:schemaRef ds:uri="http://schemas.microsoft.com/office/2006/metadata/properties"/>
    <ds:schemaRef ds:uri="http://schemas.microsoft.com/office/infopath/2007/PartnerControls"/>
    <ds:schemaRef ds:uri="4ba7d84b-d7bd-46b4-a66c-7a610aef47b7"/>
    <ds:schemaRef ds:uri="54a9d15e-ee5c-48f1-9d99-365d542a9913"/>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16</Pages>
  <Words>2674</Words>
  <Characters>15242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Kulow</dc:creator>
  <cp:keywords/>
  <dc:description/>
  <cp:lastModifiedBy>Erin Beck</cp:lastModifiedBy>
  <cp:revision>105</cp:revision>
  <dcterms:created xsi:type="dcterms:W3CDTF">2023-12-01T21:09:00Z</dcterms:created>
  <dcterms:modified xsi:type="dcterms:W3CDTF">2024-01-25T17:30:00Z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0x010100A1AB4CD10FCCE840A9F7A60CFEA07643</vt:lpwstr>
  </property>
  <property fmtid="{D5CDD505-2E9C-101B-9397-08002B2CF9AE}" pid="3" name="Order">
    <vt:r8>26646400</vt:r8>
  </property>
  <property fmtid="{D5CDD505-2E9C-101B-9397-08002B2CF9AE}" pid="4" name="MediaServiceImageTags">
    <vt:lpwstr/>
  </property>
</Properties>
</file>